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732"/>
        <w:gridCol w:w="2799"/>
        <w:gridCol w:w="1418"/>
        <w:gridCol w:w="3118"/>
      </w:tblGrid>
      <w:tr w:rsidR="00E513CD" w:rsidRPr="00DD6036" w:rsidTr="006245C7">
        <w:tc>
          <w:tcPr>
            <w:tcW w:w="1732" w:type="dxa"/>
          </w:tcPr>
          <w:p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r w:rsidR="00DD515E">
              <w:rPr>
                <w:rFonts w:ascii="Arial" w:eastAsiaTheme="majorEastAsia" w:hAnsi="Arial" w:cs="Arial"/>
                <w:b/>
                <w:sz w:val="24"/>
                <w:szCs w:val="24"/>
                <w:lang w:eastAsia="en-GB"/>
              </w:rPr>
              <w:t>:</w:t>
            </w:r>
          </w:p>
        </w:tc>
        <w:tc>
          <w:tcPr>
            <w:tcW w:w="2799" w:type="dxa"/>
          </w:tcPr>
          <w:p w:rsidR="00E513CD" w:rsidRPr="00DD6036" w:rsidRDefault="00530D72" w:rsidP="00181FE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Counsellor</w:t>
            </w:r>
          </w:p>
        </w:tc>
        <w:tc>
          <w:tcPr>
            <w:tcW w:w="1418" w:type="dxa"/>
          </w:tcPr>
          <w:p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r w:rsidR="00DD515E">
              <w:rPr>
                <w:rFonts w:ascii="Arial" w:eastAsiaTheme="majorEastAsia" w:hAnsi="Arial" w:cs="Arial"/>
                <w:b/>
                <w:sz w:val="24"/>
                <w:szCs w:val="24"/>
                <w:lang w:eastAsia="en-GB"/>
              </w:rPr>
              <w:t>:</w:t>
            </w:r>
          </w:p>
        </w:tc>
        <w:tc>
          <w:tcPr>
            <w:tcW w:w="3118" w:type="dxa"/>
          </w:tcPr>
          <w:p w:rsidR="00E513CD" w:rsidRPr="00DD6036" w:rsidRDefault="006245C7"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Lead Practitioner </w:t>
            </w:r>
          </w:p>
        </w:tc>
      </w:tr>
      <w:tr w:rsidR="003E399B" w:rsidRPr="00DD6036" w:rsidTr="003E399B">
        <w:trPr>
          <w:trHeight w:val="319"/>
        </w:trPr>
        <w:tc>
          <w:tcPr>
            <w:tcW w:w="9067" w:type="dxa"/>
            <w:gridSpan w:val="4"/>
          </w:tcPr>
          <w:p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6D6956" w:rsidRPr="00EE60E9">
              <w:rPr>
                <w:rFonts w:ascii="Verdana" w:hAnsi="Verdana" w:cs="Arial"/>
                <w:sz w:val="20"/>
                <w:szCs w:val="20"/>
              </w:rPr>
              <w:t xml:space="preserve"> </w:t>
            </w:r>
            <w:r w:rsidR="006D6956" w:rsidRPr="006D6956">
              <w:rPr>
                <w:rFonts w:ascii="Arial" w:eastAsiaTheme="majorEastAsia" w:hAnsi="Arial" w:cs="Arial"/>
                <w:b/>
                <w:sz w:val="24"/>
                <w:szCs w:val="24"/>
                <w:lang w:eastAsia="en-GB"/>
              </w:rPr>
              <w:t>Community Rehabilitation &amp; Psychosocial Intervention Service</w:t>
            </w:r>
            <w:r w:rsidR="006D6956">
              <w:rPr>
                <w:rFonts w:ascii="Arial" w:eastAsiaTheme="majorEastAsia" w:hAnsi="Arial" w:cs="Arial"/>
                <w:b/>
                <w:sz w:val="24"/>
                <w:szCs w:val="24"/>
                <w:lang w:eastAsia="en-GB"/>
              </w:rPr>
              <w:t>, Essex</w:t>
            </w:r>
          </w:p>
        </w:tc>
      </w:tr>
    </w:tbl>
    <w:p w:rsidR="00E513CD" w:rsidRPr="00DD6036" w:rsidRDefault="00E513CD" w:rsidP="00AC48E2">
      <w:pPr>
        <w:spacing w:after="0"/>
        <w:rPr>
          <w:rFonts w:ascii="Arial" w:hAnsi="Arial" w:cs="Arial"/>
        </w:rPr>
      </w:pPr>
    </w:p>
    <w:p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rsidTr="003D2CCE">
        <w:tc>
          <w:tcPr>
            <w:tcW w:w="9016" w:type="dxa"/>
            <w:shd w:val="clear" w:color="auto" w:fill="1F2A44"/>
          </w:tcPr>
          <w:p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rsidR="00181FE9" w:rsidRPr="00DD6036" w:rsidRDefault="00181FE9" w:rsidP="00E21D3A">
      <w:pPr>
        <w:spacing w:after="0" w:line="240" w:lineRule="auto"/>
        <w:jc w:val="both"/>
        <w:rPr>
          <w:rFonts w:ascii="Arial" w:hAnsi="Arial" w:cs="Arial"/>
          <w:sz w:val="21"/>
          <w:szCs w:val="21"/>
        </w:rPr>
      </w:pPr>
    </w:p>
    <w:p w:rsidR="00AC48E2" w:rsidRPr="00DD6036" w:rsidRDefault="00205BEB" w:rsidP="00E21D3A">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rsidR="00E21D3A" w:rsidRPr="00DD6036"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rsidTr="003D2CCE">
        <w:tc>
          <w:tcPr>
            <w:tcW w:w="9016" w:type="dxa"/>
            <w:tcBorders>
              <w:top w:val="nil"/>
              <w:left w:val="nil"/>
              <w:bottom w:val="nil"/>
              <w:right w:val="nil"/>
            </w:tcBorders>
            <w:shd w:val="clear" w:color="auto" w:fill="1F2A44"/>
          </w:tcPr>
          <w:p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rsidR="00181FE9" w:rsidRPr="00DD6036" w:rsidRDefault="00181FE9" w:rsidP="00181FE9">
      <w:pPr>
        <w:pStyle w:val="NoSpacing"/>
        <w:spacing w:after="120"/>
        <w:rPr>
          <w:rFonts w:ascii="Arial" w:hAnsi="Arial" w:cs="Arial"/>
          <w:sz w:val="20"/>
          <w:szCs w:val="20"/>
        </w:rPr>
      </w:pPr>
    </w:p>
    <w:p w:rsidR="000D2F64" w:rsidRDefault="00D013E2" w:rsidP="006D6956">
      <w:pPr>
        <w:rPr>
          <w:rFonts w:ascii="Arial" w:hAnsi="Arial" w:cs="Arial"/>
        </w:rPr>
      </w:pPr>
      <w:r>
        <w:rPr>
          <w:rFonts w:ascii="Arial" w:hAnsi="Arial" w:cs="Arial"/>
        </w:rPr>
        <w:t xml:space="preserve">To work as part of the counselling team </w:t>
      </w:r>
      <w:r w:rsidR="006D6956">
        <w:rPr>
          <w:rFonts w:ascii="Arial" w:hAnsi="Arial" w:cs="Arial"/>
        </w:rPr>
        <w:t>t</w:t>
      </w:r>
      <w:r w:rsidR="006D6956" w:rsidRPr="006D6956">
        <w:rPr>
          <w:rFonts w:ascii="Arial" w:hAnsi="Arial" w:cs="Arial"/>
        </w:rPr>
        <w:t>o deliver either</w:t>
      </w:r>
      <w:r w:rsidR="000D2F64">
        <w:rPr>
          <w:rFonts w:ascii="Arial" w:hAnsi="Arial" w:cs="Arial"/>
        </w:rPr>
        <w:t>:</w:t>
      </w:r>
    </w:p>
    <w:p w:rsidR="000D2F64" w:rsidRDefault="006D6956" w:rsidP="000D2F64">
      <w:pPr>
        <w:pStyle w:val="ListParagraph"/>
        <w:numPr>
          <w:ilvl w:val="0"/>
          <w:numId w:val="49"/>
        </w:numPr>
        <w:rPr>
          <w:rFonts w:ascii="Arial" w:hAnsi="Arial" w:cs="Arial"/>
        </w:rPr>
      </w:pPr>
      <w:r w:rsidRPr="000D2F64">
        <w:rPr>
          <w:rFonts w:ascii="Arial" w:hAnsi="Arial" w:cs="Arial"/>
        </w:rPr>
        <w:t xml:space="preserve">the SHARP programme (Self Help Addiction Recovery Programme) including case managing clients; or </w:t>
      </w:r>
    </w:p>
    <w:p w:rsidR="008606D9" w:rsidRPr="000D2F64" w:rsidRDefault="006D6956" w:rsidP="000D2F64">
      <w:pPr>
        <w:pStyle w:val="ListParagraph"/>
        <w:numPr>
          <w:ilvl w:val="0"/>
          <w:numId w:val="49"/>
        </w:numPr>
        <w:rPr>
          <w:rFonts w:ascii="Arial" w:hAnsi="Arial" w:cs="Arial"/>
        </w:rPr>
      </w:pPr>
      <w:r w:rsidRPr="000D2F64">
        <w:rPr>
          <w:rFonts w:ascii="Arial" w:hAnsi="Arial" w:cs="Arial"/>
        </w:rPr>
        <w:t>high-intensity, psychosocial counselling in the community.</w:t>
      </w:r>
      <w:r w:rsidR="00742B7A" w:rsidRPr="000D2F64">
        <w:rPr>
          <w:rFonts w:ascii="Arial" w:hAnsi="Arial" w:cs="Arial"/>
        </w:rPr>
        <w:t xml:space="preserve">  </w:t>
      </w:r>
    </w:p>
    <w:p w:rsidR="00181FE9" w:rsidRPr="00DD6036" w:rsidRDefault="00181FE9"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rsidTr="003D2CCE">
        <w:tc>
          <w:tcPr>
            <w:tcW w:w="9016" w:type="dxa"/>
            <w:shd w:val="clear" w:color="auto" w:fill="1F2A44"/>
          </w:tcPr>
          <w:p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rsidR="00742B7A" w:rsidRDefault="00742B7A" w:rsidP="00BE0157">
      <w:pPr>
        <w:rPr>
          <w:rFonts w:ascii="Arial" w:hAnsi="Arial" w:cs="Arial"/>
          <w:b/>
          <w:bCs/>
        </w:rPr>
      </w:pP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participate in the assessment and risk assessment of applicants to the programme</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plan and facilitate group therapy sessions and psycho-educational workshops using recognised theoretical frameworks and the SHARP model.</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 xml:space="preserve">To hold a caseload of clients to whom 1:1 counselling is provided </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provide high-intensity counselling to clients in the community</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 xml:space="preserve">To facilitate community meetings </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 xml:space="preserve">To collaboratively devise treatment plans with clients </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carry ou</w:t>
      </w:r>
      <w:r w:rsidR="00BE0157">
        <w:rPr>
          <w:rFonts w:ascii="Arial" w:hAnsi="Arial" w:cs="Arial"/>
        </w:rPr>
        <w:t>t</w:t>
      </w:r>
      <w:r w:rsidRPr="006D6956">
        <w:rPr>
          <w:rFonts w:ascii="Arial" w:hAnsi="Arial" w:cs="Arial"/>
        </w:rPr>
        <w:t xml:space="preserve"> drug and alcohol screening tests</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Produce client files, case notes and update the client database.</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Facilitate family conferences with clients, carers and family members</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Ensure that all clients leaving the programme have agreed plans for their continuing care and support.</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Identify safeguarding issues and report them to the relevant body</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 xml:space="preserve">Participate in all team meetings, case management meetings, and care reviews </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 xml:space="preserve">Attend clinical supervision, progress reviews and staff support sessions. </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pursue a programme of personal and professional development.</w:t>
      </w:r>
    </w:p>
    <w:p w:rsidR="006D6956" w:rsidRPr="006D6956" w:rsidRDefault="006D6956" w:rsidP="006D6956">
      <w:pPr>
        <w:pStyle w:val="ListParagraph"/>
        <w:numPr>
          <w:ilvl w:val="0"/>
          <w:numId w:val="48"/>
        </w:numPr>
        <w:rPr>
          <w:rFonts w:ascii="Arial" w:hAnsi="Arial" w:cs="Arial"/>
        </w:rPr>
      </w:pPr>
      <w:r w:rsidRPr="006D6956">
        <w:rPr>
          <w:rFonts w:ascii="Arial" w:hAnsi="Arial" w:cs="Arial"/>
        </w:rPr>
        <w:t>To liaise with other relevant professionals and stakeholders</w:t>
      </w:r>
    </w:p>
    <w:p w:rsidR="00C77A43" w:rsidRPr="00742B7A" w:rsidRDefault="00C77A43" w:rsidP="00C77A43">
      <w:pPr>
        <w:rPr>
          <w:rFonts w:ascii="Arial" w:hAnsi="Arial" w:cs="Arial"/>
          <w:b/>
          <w:bCs/>
        </w:rPr>
      </w:pPr>
    </w:p>
    <w:p w:rsidR="00C77A43" w:rsidRPr="006902BB" w:rsidRDefault="00C77A43" w:rsidP="00C77A43">
      <w:pPr>
        <w:pStyle w:val="ListParagraph"/>
        <w:numPr>
          <w:ilvl w:val="0"/>
          <w:numId w:val="46"/>
        </w:numPr>
        <w:tabs>
          <w:tab w:val="left" w:pos="432"/>
        </w:tabs>
        <w:rPr>
          <w:rFonts w:ascii="Arial" w:hAnsi="Arial" w:cs="Arial"/>
        </w:rPr>
      </w:pPr>
      <w:r w:rsidRPr="006902BB">
        <w:rPr>
          <w:rFonts w:ascii="Arial" w:hAnsi="Arial" w:cs="Arial"/>
        </w:rPr>
        <w:t>To liaise fully with other project staff</w:t>
      </w:r>
    </w:p>
    <w:p w:rsidR="00C77A43" w:rsidRPr="006902BB" w:rsidRDefault="00C77A43" w:rsidP="00C77A43">
      <w:pPr>
        <w:pStyle w:val="ListParagraph"/>
        <w:numPr>
          <w:ilvl w:val="0"/>
          <w:numId w:val="46"/>
        </w:numPr>
        <w:tabs>
          <w:tab w:val="left" w:pos="432"/>
        </w:tabs>
        <w:rPr>
          <w:rFonts w:ascii="Arial" w:hAnsi="Arial" w:cs="Arial"/>
        </w:rPr>
      </w:pPr>
      <w:r w:rsidRPr="006902BB">
        <w:rPr>
          <w:rFonts w:ascii="Arial" w:hAnsi="Arial" w:cs="Arial"/>
        </w:rPr>
        <w:t>To liaise with and represent The Forward Trust to other organisations for the benefit of clients and promote its services to stakeholders</w:t>
      </w:r>
    </w:p>
    <w:p w:rsidR="00C77A43" w:rsidRPr="006902BB" w:rsidRDefault="00C77A43" w:rsidP="00C77A43">
      <w:pPr>
        <w:pStyle w:val="ListParagraph"/>
        <w:numPr>
          <w:ilvl w:val="0"/>
          <w:numId w:val="46"/>
        </w:numPr>
        <w:tabs>
          <w:tab w:val="num" w:pos="435"/>
        </w:tabs>
        <w:rPr>
          <w:rFonts w:ascii="Arial" w:hAnsi="Arial" w:cs="Arial"/>
        </w:rPr>
      </w:pPr>
      <w:r w:rsidRPr="006902BB">
        <w:rPr>
          <w:rFonts w:ascii="Arial" w:hAnsi="Arial" w:cs="Arial"/>
        </w:rPr>
        <w:t>To attend staff meetings, supervision groups, staff support sessions, development days, forums and training as required.</w:t>
      </w:r>
    </w:p>
    <w:p w:rsidR="00C77A43" w:rsidRDefault="00C77A43" w:rsidP="00C77A43">
      <w:pPr>
        <w:pStyle w:val="ListParagraph"/>
        <w:numPr>
          <w:ilvl w:val="0"/>
          <w:numId w:val="46"/>
        </w:numPr>
        <w:tabs>
          <w:tab w:val="num" w:pos="435"/>
        </w:tabs>
        <w:rPr>
          <w:rFonts w:ascii="Arial" w:hAnsi="Arial" w:cs="Arial"/>
        </w:rPr>
      </w:pPr>
      <w:r w:rsidRPr="006902BB">
        <w:rPr>
          <w:rFonts w:ascii="Arial" w:hAnsi="Arial" w:cs="Arial"/>
        </w:rPr>
        <w:t xml:space="preserve">To undertake other tasks and duties as may be required from time to time by the </w:t>
      </w:r>
      <w:r>
        <w:rPr>
          <w:rFonts w:ascii="Arial" w:hAnsi="Arial" w:cs="Arial"/>
        </w:rPr>
        <w:t>Lead Practitioner and/or Service Manager</w:t>
      </w:r>
    </w:p>
    <w:p w:rsidR="00C77A43" w:rsidRPr="00747AFB" w:rsidRDefault="00C77A43" w:rsidP="00C77A43">
      <w:pPr>
        <w:pStyle w:val="ListParagraph"/>
        <w:numPr>
          <w:ilvl w:val="0"/>
          <w:numId w:val="46"/>
        </w:numPr>
        <w:tabs>
          <w:tab w:val="num" w:pos="435"/>
        </w:tabs>
        <w:rPr>
          <w:rFonts w:ascii="Arial" w:hAnsi="Arial" w:cs="Arial"/>
        </w:rPr>
      </w:pPr>
      <w:r w:rsidRPr="008D013B">
        <w:rPr>
          <w:rFonts w:ascii="Arial" w:hAnsi="Arial" w:cs="Arial"/>
        </w:rPr>
        <w:t>To work o</w:t>
      </w:r>
      <w:r w:rsidRPr="00747AFB">
        <w:rPr>
          <w:rFonts w:ascii="Arial" w:hAnsi="Arial" w:cs="Arial"/>
        </w:rPr>
        <w:t xml:space="preserve">ccasional evenings and weekends on a rota basis </w:t>
      </w:r>
    </w:p>
    <w:p w:rsidR="00C77A43" w:rsidRPr="006902BB" w:rsidRDefault="00C77A43" w:rsidP="00C77A43">
      <w:pPr>
        <w:pStyle w:val="ListParagraph"/>
        <w:numPr>
          <w:ilvl w:val="0"/>
          <w:numId w:val="46"/>
        </w:numPr>
        <w:tabs>
          <w:tab w:val="num" w:pos="435"/>
        </w:tabs>
        <w:rPr>
          <w:rFonts w:ascii="Arial" w:hAnsi="Arial" w:cs="Arial"/>
        </w:rPr>
      </w:pPr>
      <w:r>
        <w:rPr>
          <w:rFonts w:ascii="Arial" w:hAnsi="Arial" w:cs="Arial"/>
        </w:rPr>
        <w:t>Occasional</w:t>
      </w:r>
      <w:r w:rsidRPr="008D013B">
        <w:rPr>
          <w:rFonts w:ascii="Arial" w:hAnsi="Arial" w:cs="Arial"/>
        </w:rPr>
        <w:t xml:space="preserve"> travel to other sites, for which travel expense will be reimbursed.</w:t>
      </w:r>
    </w:p>
    <w:p w:rsidR="006245C7" w:rsidRDefault="006245C7" w:rsidP="006245C7">
      <w:pPr>
        <w:spacing w:after="120"/>
        <w:rPr>
          <w:rFonts w:ascii="Arial" w:hAnsi="Arial" w:cs="Arial"/>
        </w:rPr>
      </w:pPr>
    </w:p>
    <w:p w:rsidR="006245C7" w:rsidRPr="00DD6036" w:rsidRDefault="006245C7" w:rsidP="00482045">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DD6036" w:rsidTr="003D2CCE">
        <w:tc>
          <w:tcPr>
            <w:tcW w:w="9016" w:type="dxa"/>
            <w:tcBorders>
              <w:top w:val="nil"/>
              <w:left w:val="nil"/>
              <w:bottom w:val="nil"/>
              <w:right w:val="nil"/>
            </w:tcBorders>
            <w:shd w:val="clear" w:color="auto" w:fill="1F2A44"/>
          </w:tcPr>
          <w:p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rsidTr="008606D9">
        <w:trPr>
          <w:trHeight w:val="274"/>
        </w:trPr>
        <w:tc>
          <w:tcPr>
            <w:tcW w:w="3166" w:type="dxa"/>
            <w:gridSpan w:val="2"/>
            <w:shd w:val="clear" w:color="auto" w:fill="1F2A44"/>
          </w:tcPr>
          <w:p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rsidTr="008606D9">
        <w:trPr>
          <w:trHeight w:val="274"/>
        </w:trPr>
        <w:tc>
          <w:tcPr>
            <w:tcW w:w="846"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rsidTr="008606D9">
        <w:trPr>
          <w:trHeight w:val="274"/>
        </w:trPr>
        <w:tc>
          <w:tcPr>
            <w:tcW w:w="846"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rsidTr="008606D9">
        <w:trPr>
          <w:trHeight w:val="274"/>
        </w:trPr>
        <w:tc>
          <w:tcPr>
            <w:tcW w:w="3166" w:type="dxa"/>
            <w:gridSpan w:val="2"/>
            <w:shd w:val="clear" w:color="auto" w:fill="1F2A44"/>
          </w:tcPr>
          <w:p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rsidTr="008606D9">
        <w:trPr>
          <w:trHeight w:val="274"/>
        </w:trPr>
        <w:tc>
          <w:tcPr>
            <w:tcW w:w="846"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rsidTr="008606D9">
        <w:trPr>
          <w:trHeight w:val="274"/>
        </w:trPr>
        <w:tc>
          <w:tcPr>
            <w:tcW w:w="846"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rsidTr="008606D9">
        <w:trPr>
          <w:trHeight w:val="274"/>
        </w:trPr>
        <w:tc>
          <w:tcPr>
            <w:tcW w:w="846"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rsidR="00482045" w:rsidRPr="00DD6036" w:rsidRDefault="00482045" w:rsidP="005A5A2B">
      <w:pPr>
        <w:spacing w:after="0" w:line="240" w:lineRule="auto"/>
        <w:rPr>
          <w:rFonts w:ascii="Arial" w:eastAsiaTheme="minorEastAsia" w:hAnsi="Arial" w:cs="Arial"/>
          <w:b/>
          <w:sz w:val="23"/>
          <w:szCs w:val="23"/>
        </w:rPr>
      </w:pPr>
    </w:p>
    <w:p w:rsidR="007A4D3C" w:rsidRPr="00DD6036" w:rsidRDefault="007A4D3C" w:rsidP="005A5A2B">
      <w:pPr>
        <w:spacing w:after="0" w:line="240" w:lineRule="auto"/>
        <w:rPr>
          <w:rFonts w:ascii="Arial" w:eastAsiaTheme="minorEastAsia" w:hAnsi="Arial" w:cs="Arial"/>
          <w:b/>
          <w:sz w:val="21"/>
          <w:szCs w:val="21"/>
        </w:rPr>
      </w:pPr>
    </w:p>
    <w:p w:rsidR="007A4D3C" w:rsidRPr="00DD6036" w:rsidRDefault="007A4D3C" w:rsidP="000A3F71">
      <w:pPr>
        <w:spacing w:after="0" w:line="264" w:lineRule="auto"/>
        <w:rPr>
          <w:rFonts w:ascii="Arial" w:eastAsiaTheme="minorEastAsia" w:hAnsi="Arial" w:cs="Arial"/>
          <w:b/>
          <w:szCs w:val="20"/>
        </w:rPr>
      </w:pPr>
    </w:p>
    <w:p w:rsidR="00C40615" w:rsidRPr="00DD6036" w:rsidRDefault="00C40615" w:rsidP="000A3F71">
      <w:pPr>
        <w:spacing w:after="0" w:line="264" w:lineRule="auto"/>
        <w:rPr>
          <w:rFonts w:ascii="Arial" w:eastAsiaTheme="minorEastAsia" w:hAnsi="Arial" w:cs="Arial"/>
          <w:b/>
          <w:szCs w:val="20"/>
        </w:rPr>
      </w:pPr>
    </w:p>
    <w:p w:rsidR="00C40615" w:rsidRPr="00DD6036" w:rsidRDefault="00C40615" w:rsidP="000A3F71">
      <w:pPr>
        <w:spacing w:after="0" w:line="264" w:lineRule="auto"/>
        <w:rPr>
          <w:rFonts w:ascii="Arial" w:eastAsiaTheme="minorEastAsia" w:hAnsi="Arial" w:cs="Arial"/>
          <w:b/>
          <w:szCs w:val="20"/>
        </w:rPr>
      </w:pPr>
    </w:p>
    <w:p w:rsidR="00C40615" w:rsidRPr="00DD6036" w:rsidRDefault="00C40615" w:rsidP="000A3F71">
      <w:pPr>
        <w:spacing w:after="0" w:line="264" w:lineRule="auto"/>
        <w:rPr>
          <w:rFonts w:ascii="Arial" w:eastAsiaTheme="minorEastAsia" w:hAnsi="Arial" w:cs="Arial"/>
          <w:b/>
          <w:szCs w:val="20"/>
        </w:rPr>
      </w:pPr>
    </w:p>
    <w:p w:rsidR="00C40615" w:rsidRPr="00DD6036" w:rsidRDefault="00C40615" w:rsidP="000A3F71">
      <w:pPr>
        <w:spacing w:after="0" w:line="264" w:lineRule="auto"/>
        <w:rPr>
          <w:rFonts w:ascii="Arial" w:eastAsiaTheme="minorEastAsia" w:hAnsi="Arial" w:cs="Arial"/>
          <w:b/>
          <w:szCs w:val="20"/>
        </w:rPr>
      </w:pPr>
    </w:p>
    <w:p w:rsidR="00C40615" w:rsidRPr="00DD6036" w:rsidRDefault="00C40615" w:rsidP="000A3F71">
      <w:pPr>
        <w:spacing w:after="0" w:line="264" w:lineRule="auto"/>
        <w:rPr>
          <w:rFonts w:ascii="Arial" w:eastAsiaTheme="minorEastAsia" w:hAnsi="Arial" w:cs="Arial"/>
          <w:b/>
          <w:szCs w:val="20"/>
        </w:rPr>
      </w:pPr>
    </w:p>
    <w:p w:rsidR="00482045" w:rsidRPr="00DD6036" w:rsidRDefault="00482045"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DD6036" w:rsidTr="006C5CF5">
        <w:trPr>
          <w:trHeight w:val="268"/>
        </w:trPr>
        <w:tc>
          <w:tcPr>
            <w:tcW w:w="9063" w:type="dxa"/>
            <w:gridSpan w:val="3"/>
            <w:shd w:val="clear" w:color="auto" w:fill="1F2A44"/>
          </w:tcPr>
          <w:p w:rsidR="007A4D3C" w:rsidRPr="00DD6036" w:rsidRDefault="007A4D3C" w:rsidP="00D4528A">
            <w:pPr>
              <w:spacing w:line="264" w:lineRule="auto"/>
              <w:rPr>
                <w:rFonts w:ascii="Arial" w:eastAsiaTheme="minorEastAsia" w:hAnsi="Arial" w:cs="Arial"/>
                <w:b/>
                <w:color w:val="FFFFFF" w:themeColor="background1"/>
              </w:rPr>
            </w:pPr>
            <w:r w:rsidRPr="00DD6036">
              <w:rPr>
                <w:rFonts w:ascii="Arial" w:eastAsiaTheme="minorEastAsia" w:hAnsi="Arial" w:cs="Arial"/>
                <w:b/>
                <w:color w:val="FFFFFF" w:themeColor="background1"/>
              </w:rPr>
              <w:t xml:space="preserve">Knowledge, Skills and Experience </w:t>
            </w:r>
          </w:p>
        </w:tc>
      </w:tr>
      <w:tr w:rsidR="00D206C3" w:rsidRPr="00DD6036" w:rsidTr="00CA5E10">
        <w:trPr>
          <w:trHeight w:val="277"/>
        </w:trPr>
        <w:tc>
          <w:tcPr>
            <w:tcW w:w="6464" w:type="dxa"/>
          </w:tcPr>
          <w:p w:rsidR="00D206C3" w:rsidRPr="00DD6036" w:rsidRDefault="00D206C3" w:rsidP="00846CBE">
            <w:pPr>
              <w:rPr>
                <w:rFonts w:ascii="Arial" w:hAnsi="Arial" w:cs="Arial"/>
              </w:rPr>
            </w:pPr>
          </w:p>
        </w:tc>
        <w:tc>
          <w:tcPr>
            <w:tcW w:w="1311" w:type="dxa"/>
          </w:tcPr>
          <w:p w:rsidR="00D206C3" w:rsidRPr="00DD6036" w:rsidRDefault="00D206C3" w:rsidP="00846CBE">
            <w:pPr>
              <w:jc w:val="center"/>
              <w:rPr>
                <w:rFonts w:ascii="Arial" w:eastAsiaTheme="minorEastAsia" w:hAnsi="Arial" w:cs="Arial"/>
                <w:color w:val="1F2A44"/>
              </w:rPr>
            </w:pPr>
          </w:p>
        </w:tc>
        <w:tc>
          <w:tcPr>
            <w:tcW w:w="1288" w:type="dxa"/>
          </w:tcPr>
          <w:p w:rsidR="00D206C3" w:rsidRPr="00DD6036" w:rsidRDefault="00D206C3" w:rsidP="00846CBE">
            <w:pPr>
              <w:jc w:val="center"/>
              <w:rPr>
                <w:rFonts w:ascii="Arial" w:eastAsiaTheme="minorEastAsia" w:hAnsi="Arial" w:cs="Arial"/>
                <w:color w:val="1F2A44"/>
              </w:rPr>
            </w:pPr>
          </w:p>
        </w:tc>
      </w:tr>
      <w:tr w:rsidR="00D206C3" w:rsidRPr="00DD6036" w:rsidTr="00CA5E10">
        <w:trPr>
          <w:trHeight w:val="268"/>
        </w:trPr>
        <w:tc>
          <w:tcPr>
            <w:tcW w:w="6464" w:type="dxa"/>
          </w:tcPr>
          <w:p w:rsidR="006245C7" w:rsidRPr="000D7B48" w:rsidRDefault="0000280F" w:rsidP="0000280F">
            <w:pPr>
              <w:pStyle w:val="NoSpacing"/>
              <w:rPr>
                <w:rFonts w:ascii="Verdana" w:hAnsi="Verdana"/>
              </w:rPr>
            </w:pPr>
            <w:r>
              <w:rPr>
                <w:rFonts w:ascii="Verdana" w:hAnsi="Verdana"/>
              </w:rPr>
              <w:t>P</w:t>
            </w:r>
            <w:r w:rsidR="006245C7" w:rsidRPr="000D7B48">
              <w:rPr>
                <w:rFonts w:ascii="Verdana" w:hAnsi="Verdana"/>
              </w:rPr>
              <w:t xml:space="preserve">revious experience of working </w:t>
            </w:r>
            <w:r w:rsidR="00B841A9">
              <w:rPr>
                <w:rFonts w:ascii="Verdana" w:hAnsi="Verdana"/>
              </w:rPr>
              <w:t>within a community or residential substance misuse treatment service.</w:t>
            </w:r>
          </w:p>
          <w:p w:rsidR="00D206C3" w:rsidRPr="00DD6036" w:rsidRDefault="00D206C3" w:rsidP="006245C7">
            <w:pPr>
              <w:pStyle w:val="NoSpacing"/>
              <w:ind w:left="720"/>
              <w:rPr>
                <w:rFonts w:ascii="Arial" w:hAnsi="Arial" w:cs="Arial"/>
              </w:rPr>
            </w:pPr>
          </w:p>
        </w:tc>
        <w:tc>
          <w:tcPr>
            <w:tcW w:w="1311"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rsidTr="00CA5E10">
        <w:trPr>
          <w:trHeight w:val="417"/>
        </w:trPr>
        <w:tc>
          <w:tcPr>
            <w:tcW w:w="6464" w:type="dxa"/>
          </w:tcPr>
          <w:p w:rsidR="006245C7" w:rsidRPr="000D7B48" w:rsidRDefault="00B841A9" w:rsidP="0000280F">
            <w:pPr>
              <w:pStyle w:val="NoSpacing"/>
              <w:rPr>
                <w:rFonts w:ascii="Verdana" w:hAnsi="Verdana"/>
              </w:rPr>
            </w:pPr>
            <w:r>
              <w:rPr>
                <w:rFonts w:ascii="Verdana" w:hAnsi="Verdana"/>
              </w:rPr>
              <w:t>Experience of carrying out needs and risk assessments.</w:t>
            </w:r>
          </w:p>
          <w:p w:rsidR="00D206C3" w:rsidRPr="00DD6036" w:rsidRDefault="00D206C3" w:rsidP="0000280F">
            <w:pPr>
              <w:pStyle w:val="NoSpacing"/>
              <w:ind w:left="720"/>
              <w:rPr>
                <w:rFonts w:ascii="Arial" w:hAnsi="Arial" w:cs="Arial"/>
              </w:rPr>
            </w:pPr>
          </w:p>
        </w:tc>
        <w:tc>
          <w:tcPr>
            <w:tcW w:w="1311"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rsidTr="00CA5E10">
        <w:trPr>
          <w:trHeight w:val="283"/>
        </w:trPr>
        <w:tc>
          <w:tcPr>
            <w:tcW w:w="6464" w:type="dxa"/>
          </w:tcPr>
          <w:p w:rsidR="006245C7" w:rsidRPr="000D7B48" w:rsidRDefault="00B841A9" w:rsidP="0000280F">
            <w:pPr>
              <w:pStyle w:val="NoSpacing"/>
              <w:rPr>
                <w:rFonts w:ascii="Verdana" w:hAnsi="Verdana"/>
              </w:rPr>
            </w:pPr>
            <w:r>
              <w:rPr>
                <w:rFonts w:ascii="Verdana" w:hAnsi="Verdana"/>
              </w:rPr>
              <w:t>Experience of facilitating groups and psycho-educational workshops</w:t>
            </w:r>
          </w:p>
          <w:p w:rsidR="00D206C3" w:rsidRPr="00DD6036" w:rsidRDefault="00D206C3" w:rsidP="00846CBE">
            <w:pPr>
              <w:rPr>
                <w:rFonts w:ascii="Arial" w:hAnsi="Arial" w:cs="Arial"/>
              </w:rPr>
            </w:pPr>
          </w:p>
        </w:tc>
        <w:tc>
          <w:tcPr>
            <w:tcW w:w="1311"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D206C3" w:rsidRPr="00DD6036" w:rsidRDefault="006245C7"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Experience of facilitating structured family meetings</w:t>
            </w:r>
          </w:p>
          <w:p w:rsidR="00B841A9" w:rsidRDefault="00B841A9" w:rsidP="0000280F">
            <w:pPr>
              <w:pStyle w:val="NoSpacing"/>
              <w:rPr>
                <w:rFonts w:ascii="Verdana" w:hAnsi="Verdana"/>
              </w:rPr>
            </w:pPr>
          </w:p>
        </w:tc>
        <w:tc>
          <w:tcPr>
            <w:tcW w:w="1311"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A working knowledge of the 12-step and ITEP Programme</w:t>
            </w:r>
          </w:p>
          <w:p w:rsidR="00B841A9" w:rsidRDefault="00B841A9" w:rsidP="0000280F">
            <w:pPr>
              <w:pStyle w:val="NoSpacing"/>
              <w:rPr>
                <w:rFonts w:ascii="Verdana" w:hAnsi="Verdana"/>
              </w:rPr>
            </w:pPr>
          </w:p>
        </w:tc>
        <w:tc>
          <w:tcPr>
            <w:tcW w:w="1311"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A working knowledge of motivation enhancement and cognitive-behavioural interventions</w:t>
            </w:r>
          </w:p>
          <w:p w:rsidR="00B841A9" w:rsidRDefault="00B841A9" w:rsidP="0000280F">
            <w:pPr>
              <w:pStyle w:val="NoSpacing"/>
              <w:rPr>
                <w:rFonts w:ascii="Verdana" w:hAnsi="Verdana"/>
              </w:rPr>
            </w:pPr>
          </w:p>
        </w:tc>
        <w:tc>
          <w:tcPr>
            <w:tcW w:w="1311"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Ability to be empathetic to clients whilst at the same time maintaining clear professional boundaries</w:t>
            </w:r>
          </w:p>
          <w:p w:rsidR="00B841A9" w:rsidRDefault="00B841A9" w:rsidP="0000280F">
            <w:pPr>
              <w:pStyle w:val="NoSpacing"/>
              <w:rPr>
                <w:rFonts w:ascii="Verdana" w:hAnsi="Verdana"/>
              </w:rPr>
            </w:pPr>
          </w:p>
        </w:tc>
        <w:tc>
          <w:tcPr>
            <w:tcW w:w="1311"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Good organisation of records and data in line with data protection legislation</w:t>
            </w:r>
          </w:p>
          <w:p w:rsidR="00B841A9" w:rsidRDefault="00B841A9" w:rsidP="0000280F">
            <w:pPr>
              <w:pStyle w:val="NoSpacing"/>
              <w:rPr>
                <w:rFonts w:ascii="Verdana" w:hAnsi="Verdana"/>
              </w:rPr>
            </w:pPr>
          </w:p>
        </w:tc>
        <w:tc>
          <w:tcPr>
            <w:tcW w:w="1311"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B841A9" w:rsidRDefault="00B841A9" w:rsidP="00846CBE">
            <w:pPr>
              <w:jc w:val="center"/>
              <w:rPr>
                <w:rFonts w:ascii="Arial" w:eastAsiaTheme="minorEastAsia" w:hAnsi="Arial" w:cs="Arial"/>
                <w:color w:val="1F2A44"/>
              </w:rPr>
            </w:pPr>
            <w:r>
              <w:rPr>
                <w:rFonts w:ascii="Arial" w:eastAsiaTheme="minorEastAsia" w:hAnsi="Arial" w:cs="Arial"/>
                <w:color w:val="1F2A44"/>
              </w:rPr>
              <w:t>A/I</w:t>
            </w:r>
          </w:p>
        </w:tc>
      </w:tr>
      <w:tr w:rsidR="00605639" w:rsidRPr="00DD6036" w:rsidTr="00CA5E10">
        <w:trPr>
          <w:trHeight w:val="283"/>
        </w:trPr>
        <w:tc>
          <w:tcPr>
            <w:tcW w:w="6464" w:type="dxa"/>
          </w:tcPr>
          <w:p w:rsidR="00605639" w:rsidRDefault="00605639" w:rsidP="0000280F">
            <w:pPr>
              <w:pStyle w:val="NoSpacing"/>
              <w:rPr>
                <w:rFonts w:ascii="Verdana" w:hAnsi="Verdana"/>
              </w:rPr>
            </w:pPr>
            <w:r>
              <w:rPr>
                <w:rFonts w:ascii="Verdana" w:hAnsi="Verdana"/>
              </w:rPr>
              <w:t>Working knowledge of child/adult safeguarding and incident reporting protocols and procedures</w:t>
            </w:r>
          </w:p>
          <w:p w:rsidR="00605639" w:rsidRDefault="00605639" w:rsidP="0000280F">
            <w:pPr>
              <w:pStyle w:val="NoSpacing"/>
              <w:rPr>
                <w:rFonts w:ascii="Verdana" w:hAnsi="Verdana"/>
              </w:rPr>
            </w:pPr>
          </w:p>
        </w:tc>
        <w:tc>
          <w:tcPr>
            <w:tcW w:w="1311"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B841A9" w:rsidP="0000280F">
            <w:pPr>
              <w:pStyle w:val="NoSpacing"/>
              <w:rPr>
                <w:rFonts w:ascii="Verdana" w:hAnsi="Verdana"/>
              </w:rPr>
            </w:pPr>
            <w:r>
              <w:rPr>
                <w:rFonts w:ascii="Verdana" w:hAnsi="Verdana"/>
              </w:rPr>
              <w:t>Ability to maintain the principles of confidentiality in all areas of work</w:t>
            </w:r>
          </w:p>
          <w:p w:rsidR="00B841A9" w:rsidRDefault="00B841A9" w:rsidP="0000280F">
            <w:pPr>
              <w:pStyle w:val="NoSpacing"/>
              <w:rPr>
                <w:rFonts w:ascii="Verdana" w:hAnsi="Verdana"/>
              </w:rPr>
            </w:pPr>
          </w:p>
        </w:tc>
        <w:tc>
          <w:tcPr>
            <w:tcW w:w="1311" w:type="dxa"/>
          </w:tcPr>
          <w:p w:rsidR="00B841A9" w:rsidRDefault="0060563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B841A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B841A9" w:rsidRPr="00DD6036" w:rsidTr="00CA5E10">
        <w:trPr>
          <w:trHeight w:val="283"/>
        </w:trPr>
        <w:tc>
          <w:tcPr>
            <w:tcW w:w="6464" w:type="dxa"/>
          </w:tcPr>
          <w:p w:rsidR="00B841A9" w:rsidRDefault="00605639" w:rsidP="0000280F">
            <w:pPr>
              <w:pStyle w:val="NoSpacing"/>
              <w:rPr>
                <w:rFonts w:ascii="Verdana" w:hAnsi="Verdana"/>
              </w:rPr>
            </w:pPr>
            <w:r>
              <w:rPr>
                <w:rFonts w:ascii="Verdana" w:hAnsi="Verdana"/>
              </w:rPr>
              <w:t>Experience of using an electronic case management system to document client records</w:t>
            </w:r>
          </w:p>
          <w:p w:rsidR="00605639" w:rsidRDefault="00605639" w:rsidP="0000280F">
            <w:pPr>
              <w:pStyle w:val="NoSpacing"/>
              <w:rPr>
                <w:rFonts w:ascii="Verdana" w:hAnsi="Verdana"/>
              </w:rPr>
            </w:pPr>
          </w:p>
        </w:tc>
        <w:tc>
          <w:tcPr>
            <w:tcW w:w="1311" w:type="dxa"/>
          </w:tcPr>
          <w:p w:rsidR="00B841A9" w:rsidRDefault="00605639"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B841A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605639" w:rsidRPr="00DD6036" w:rsidTr="00CA5E10">
        <w:trPr>
          <w:trHeight w:val="283"/>
        </w:trPr>
        <w:tc>
          <w:tcPr>
            <w:tcW w:w="6464" w:type="dxa"/>
          </w:tcPr>
          <w:p w:rsidR="00605639" w:rsidRDefault="00605639" w:rsidP="0000280F">
            <w:pPr>
              <w:pStyle w:val="NoSpacing"/>
              <w:rPr>
                <w:rFonts w:ascii="Verdana" w:hAnsi="Verdana"/>
              </w:rPr>
            </w:pPr>
            <w:r>
              <w:rPr>
                <w:rFonts w:ascii="Verdana" w:hAnsi="Verdana"/>
              </w:rPr>
              <w:t>Ability to assess the needs of clients and signpost them to other services as appropriate</w:t>
            </w:r>
          </w:p>
          <w:p w:rsidR="00605639" w:rsidRDefault="00605639" w:rsidP="0000280F">
            <w:pPr>
              <w:pStyle w:val="NoSpacing"/>
              <w:rPr>
                <w:rFonts w:ascii="Verdana" w:hAnsi="Verdana"/>
              </w:rPr>
            </w:pPr>
          </w:p>
        </w:tc>
        <w:tc>
          <w:tcPr>
            <w:tcW w:w="1311"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605639" w:rsidRPr="00DD6036" w:rsidTr="00CA5E10">
        <w:trPr>
          <w:trHeight w:val="283"/>
        </w:trPr>
        <w:tc>
          <w:tcPr>
            <w:tcW w:w="6464" w:type="dxa"/>
          </w:tcPr>
          <w:p w:rsidR="00605639" w:rsidRDefault="00605639" w:rsidP="0000280F">
            <w:pPr>
              <w:pStyle w:val="NoSpacing"/>
              <w:rPr>
                <w:rFonts w:ascii="Verdana" w:hAnsi="Verdana"/>
              </w:rPr>
            </w:pPr>
            <w:r>
              <w:rPr>
                <w:rFonts w:ascii="Verdana" w:hAnsi="Verdana"/>
              </w:rPr>
              <w:t xml:space="preserve">Local knowledge of community resources including a working knowledge of the </w:t>
            </w:r>
            <w:r w:rsidR="006D6956">
              <w:rPr>
                <w:rFonts w:ascii="Verdana" w:hAnsi="Verdana"/>
              </w:rPr>
              <w:t>Essex</w:t>
            </w:r>
            <w:r>
              <w:rPr>
                <w:rFonts w:ascii="Verdana" w:hAnsi="Verdana"/>
              </w:rPr>
              <w:t xml:space="preserve"> treatment pathways</w:t>
            </w:r>
          </w:p>
          <w:p w:rsidR="00605639" w:rsidRDefault="00605639" w:rsidP="0000280F">
            <w:pPr>
              <w:pStyle w:val="NoSpacing"/>
              <w:rPr>
                <w:rFonts w:ascii="Verdana" w:hAnsi="Verdana"/>
              </w:rPr>
            </w:pPr>
          </w:p>
        </w:tc>
        <w:tc>
          <w:tcPr>
            <w:tcW w:w="1311"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605639" w:rsidRPr="00DD6036" w:rsidTr="00CA5E10">
        <w:trPr>
          <w:trHeight w:val="283"/>
        </w:trPr>
        <w:tc>
          <w:tcPr>
            <w:tcW w:w="6464" w:type="dxa"/>
          </w:tcPr>
          <w:p w:rsidR="00605639" w:rsidRDefault="00605639" w:rsidP="0000280F">
            <w:pPr>
              <w:pStyle w:val="NoSpacing"/>
              <w:rPr>
                <w:rFonts w:ascii="Verdana" w:hAnsi="Verdana"/>
              </w:rPr>
            </w:pPr>
            <w:r>
              <w:rPr>
                <w:rFonts w:ascii="Verdana" w:hAnsi="Verdana"/>
              </w:rPr>
              <w:t>Knowledge of a range of issues and services including mental health, substance misuse, housing and benefits</w:t>
            </w:r>
          </w:p>
          <w:p w:rsidR="00605639" w:rsidRDefault="00605639" w:rsidP="0000280F">
            <w:pPr>
              <w:pStyle w:val="NoSpacing"/>
              <w:rPr>
                <w:rFonts w:ascii="Verdana" w:hAnsi="Verdana"/>
              </w:rPr>
            </w:pPr>
          </w:p>
        </w:tc>
        <w:tc>
          <w:tcPr>
            <w:tcW w:w="1311"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605639" w:rsidRDefault="00605639" w:rsidP="00846CBE">
            <w:pPr>
              <w:jc w:val="center"/>
              <w:rPr>
                <w:rFonts w:ascii="Arial" w:eastAsiaTheme="minorEastAsia" w:hAnsi="Arial" w:cs="Arial"/>
                <w:color w:val="1F2A44"/>
              </w:rPr>
            </w:pPr>
            <w:r>
              <w:rPr>
                <w:rFonts w:ascii="Arial" w:eastAsiaTheme="minorEastAsia" w:hAnsi="Arial" w:cs="Arial"/>
                <w:color w:val="1F2A44"/>
              </w:rPr>
              <w:t>A/I</w:t>
            </w:r>
          </w:p>
        </w:tc>
      </w:tr>
      <w:tr w:rsidR="000A3F71" w:rsidRPr="00DD6036" w:rsidTr="00CA5E10">
        <w:trPr>
          <w:trHeight w:val="277"/>
        </w:trPr>
        <w:tc>
          <w:tcPr>
            <w:tcW w:w="6464" w:type="dxa"/>
            <w:shd w:val="clear" w:color="auto" w:fill="1F2A44"/>
          </w:tcPr>
          <w:p w:rsidR="000A3F71" w:rsidRPr="00DD6036" w:rsidRDefault="00D4528A" w:rsidP="000A3F71">
            <w:pPr>
              <w:spacing w:line="276" w:lineRule="auto"/>
              <w:ind w:right="144"/>
              <w:contextualSpacing/>
              <w:rPr>
                <w:rFonts w:ascii="Arial" w:eastAsiaTheme="minorEastAsia" w:hAnsi="Arial" w:cs="Arial"/>
                <w:b/>
                <w:color w:val="FFFFFF" w:themeColor="background1"/>
              </w:rPr>
            </w:pPr>
            <w:r w:rsidRPr="00DD6036">
              <w:rPr>
                <w:rFonts w:ascii="Arial" w:eastAsiaTheme="minorEastAsia" w:hAnsi="Arial" w:cs="Arial"/>
                <w:b/>
                <w:color w:val="FFFFFF" w:themeColor="background1"/>
              </w:rPr>
              <w:t>Personal Attributes</w:t>
            </w:r>
          </w:p>
        </w:tc>
        <w:tc>
          <w:tcPr>
            <w:tcW w:w="1311" w:type="dxa"/>
            <w:shd w:val="clear" w:color="auto" w:fill="1F2A44"/>
          </w:tcPr>
          <w:p w:rsidR="000A3F71" w:rsidRPr="00DD6036" w:rsidRDefault="000A3F71" w:rsidP="000A3F71">
            <w:pPr>
              <w:spacing w:line="264" w:lineRule="auto"/>
              <w:jc w:val="center"/>
              <w:rPr>
                <w:rFonts w:ascii="Arial" w:eastAsiaTheme="minorEastAsia" w:hAnsi="Arial" w:cs="Arial"/>
                <w:color w:val="1F2A44"/>
              </w:rPr>
            </w:pPr>
          </w:p>
        </w:tc>
        <w:tc>
          <w:tcPr>
            <w:tcW w:w="1288" w:type="dxa"/>
            <w:shd w:val="clear" w:color="auto" w:fill="1F2A44"/>
          </w:tcPr>
          <w:p w:rsidR="000A3F71" w:rsidRPr="00DD6036" w:rsidRDefault="000A3F71" w:rsidP="000A3F71">
            <w:pPr>
              <w:spacing w:line="264" w:lineRule="auto"/>
              <w:jc w:val="center"/>
              <w:rPr>
                <w:rFonts w:ascii="Arial" w:eastAsiaTheme="minorEastAsia" w:hAnsi="Arial" w:cs="Arial"/>
                <w:color w:val="1F2A44"/>
              </w:rPr>
            </w:pPr>
          </w:p>
        </w:tc>
      </w:tr>
      <w:tr w:rsidR="00605639" w:rsidRPr="00DD6036" w:rsidTr="003A227B">
        <w:trPr>
          <w:trHeight w:val="268"/>
        </w:trPr>
        <w:tc>
          <w:tcPr>
            <w:tcW w:w="6464" w:type="dxa"/>
          </w:tcPr>
          <w:p w:rsidR="00605639" w:rsidRPr="00605639" w:rsidRDefault="00605639" w:rsidP="000F185A">
            <w:pPr>
              <w:spacing w:line="264" w:lineRule="auto"/>
              <w:rPr>
                <w:rFonts w:ascii="Arial" w:eastAsiaTheme="minorEastAsia" w:hAnsi="Arial" w:cs="Arial"/>
                <w:bCs/>
                <w:color w:val="1F2A44"/>
              </w:rPr>
            </w:pPr>
            <w:r w:rsidRPr="00605639">
              <w:rPr>
                <w:rFonts w:ascii="Arial" w:eastAsiaTheme="minorEastAsia" w:hAnsi="Arial" w:cs="Arial"/>
                <w:bCs/>
                <w:color w:val="1F2A44"/>
              </w:rPr>
              <w:t>Ability to maintain the principles of confidentiality in all areas of work</w:t>
            </w:r>
          </w:p>
        </w:tc>
        <w:tc>
          <w:tcPr>
            <w:tcW w:w="1311" w:type="dxa"/>
          </w:tcPr>
          <w:p w:rsidR="00605639" w:rsidRPr="00DD6036" w:rsidRDefault="00605639" w:rsidP="00CA5E10">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605639" w:rsidRPr="00DD6036" w:rsidRDefault="00605639" w:rsidP="000A3F71">
            <w:pPr>
              <w:spacing w:line="264" w:lineRule="auto"/>
              <w:jc w:val="center"/>
              <w:rPr>
                <w:rFonts w:ascii="Arial" w:eastAsiaTheme="minorEastAsia" w:hAnsi="Arial" w:cs="Arial"/>
                <w:color w:val="1F2A44"/>
              </w:rPr>
            </w:pPr>
          </w:p>
        </w:tc>
      </w:tr>
      <w:tr w:rsidR="00605639" w:rsidRPr="00DD6036" w:rsidTr="003A227B">
        <w:trPr>
          <w:trHeight w:val="268"/>
        </w:trPr>
        <w:tc>
          <w:tcPr>
            <w:tcW w:w="6464" w:type="dxa"/>
          </w:tcPr>
          <w:p w:rsidR="00605639" w:rsidRPr="00605639" w:rsidRDefault="00605639" w:rsidP="000F185A">
            <w:pPr>
              <w:spacing w:line="264" w:lineRule="auto"/>
              <w:rPr>
                <w:rFonts w:ascii="Arial" w:eastAsiaTheme="minorEastAsia" w:hAnsi="Arial" w:cs="Arial"/>
                <w:bCs/>
                <w:color w:val="1F2A44"/>
              </w:rPr>
            </w:pPr>
            <w:r w:rsidRPr="00605639">
              <w:rPr>
                <w:rFonts w:ascii="Arial" w:eastAsiaTheme="minorEastAsia" w:hAnsi="Arial" w:cs="Arial"/>
                <w:bCs/>
                <w:color w:val="1F2A44"/>
              </w:rPr>
              <w:t>Commitment to continuing learning and development to improve skill base</w:t>
            </w:r>
          </w:p>
        </w:tc>
        <w:tc>
          <w:tcPr>
            <w:tcW w:w="1311" w:type="dxa"/>
          </w:tcPr>
          <w:p w:rsidR="00605639" w:rsidRDefault="00605639" w:rsidP="00CA5E10">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605639" w:rsidRPr="00DD6036" w:rsidRDefault="00605639" w:rsidP="000A3F71">
            <w:pPr>
              <w:spacing w:line="264" w:lineRule="auto"/>
              <w:jc w:val="center"/>
              <w:rPr>
                <w:rFonts w:ascii="Arial" w:eastAsiaTheme="minorEastAsia" w:hAnsi="Arial" w:cs="Arial"/>
                <w:color w:val="1F2A44"/>
              </w:rPr>
            </w:pPr>
          </w:p>
        </w:tc>
      </w:tr>
      <w:tr w:rsidR="00605639" w:rsidRPr="00DD6036" w:rsidTr="003A227B">
        <w:trPr>
          <w:trHeight w:val="268"/>
        </w:trPr>
        <w:tc>
          <w:tcPr>
            <w:tcW w:w="6464" w:type="dxa"/>
          </w:tcPr>
          <w:p w:rsidR="00605639" w:rsidRPr="00605639" w:rsidRDefault="00605639" w:rsidP="000F185A">
            <w:pPr>
              <w:spacing w:line="264" w:lineRule="auto"/>
              <w:rPr>
                <w:rFonts w:ascii="Arial" w:eastAsiaTheme="minorEastAsia" w:hAnsi="Arial" w:cs="Arial"/>
                <w:bCs/>
                <w:color w:val="1F2A44"/>
              </w:rPr>
            </w:pPr>
            <w:r w:rsidRPr="00605639">
              <w:rPr>
                <w:rFonts w:ascii="Arial" w:eastAsiaTheme="minorEastAsia" w:hAnsi="Arial" w:cs="Arial"/>
                <w:bCs/>
                <w:color w:val="1F2A44"/>
              </w:rPr>
              <w:t>Open and non-judgemental attitude towards clients and their families</w:t>
            </w:r>
          </w:p>
        </w:tc>
        <w:tc>
          <w:tcPr>
            <w:tcW w:w="1311" w:type="dxa"/>
          </w:tcPr>
          <w:p w:rsidR="00605639" w:rsidRDefault="00605639" w:rsidP="00CA5E10">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605639" w:rsidRPr="00DD6036" w:rsidRDefault="00605639" w:rsidP="000A3F71">
            <w:pPr>
              <w:spacing w:line="264" w:lineRule="auto"/>
              <w:jc w:val="center"/>
              <w:rPr>
                <w:rFonts w:ascii="Arial" w:eastAsiaTheme="minorEastAsia" w:hAnsi="Arial" w:cs="Arial"/>
                <w:color w:val="1F2A44"/>
              </w:rPr>
            </w:pPr>
          </w:p>
        </w:tc>
      </w:tr>
      <w:tr w:rsidR="000A3F71" w:rsidRPr="00DD6036" w:rsidTr="003A227B">
        <w:trPr>
          <w:trHeight w:val="268"/>
        </w:trPr>
        <w:tc>
          <w:tcPr>
            <w:tcW w:w="6464" w:type="dxa"/>
          </w:tcPr>
          <w:p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Proactivity</w:t>
            </w:r>
            <w:r w:rsidRPr="00DD6036">
              <w:rPr>
                <w:rFonts w:ascii="Arial" w:eastAsiaTheme="minorEastAsia" w:hAnsi="Arial" w:cs="Arial"/>
                <w:color w:val="1F2A44"/>
              </w:rPr>
              <w:t xml:space="preserve"> – Quick thinking with a high level </w:t>
            </w:r>
            <w:r w:rsidR="006C5CF5" w:rsidRPr="00DD6036">
              <w:rPr>
                <w:rFonts w:ascii="Arial" w:eastAsiaTheme="minorEastAsia" w:hAnsi="Arial" w:cs="Arial"/>
                <w:color w:val="1F2A44"/>
              </w:rPr>
              <w:t xml:space="preserve">use </w:t>
            </w:r>
            <w:r w:rsidRPr="00DD6036">
              <w:rPr>
                <w:rFonts w:ascii="Arial" w:eastAsiaTheme="minorEastAsia" w:hAnsi="Arial" w:cs="Arial"/>
                <w:color w:val="1F2A44"/>
              </w:rPr>
              <w:t>of initiative</w:t>
            </w:r>
          </w:p>
        </w:tc>
        <w:tc>
          <w:tcPr>
            <w:tcW w:w="1311" w:type="dxa"/>
          </w:tcPr>
          <w:p w:rsidR="000A3F71" w:rsidRPr="00DD6036" w:rsidRDefault="00846CBE" w:rsidP="00CA5E10">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0A3F71" w:rsidRPr="00DD6036" w:rsidTr="003A227B">
        <w:trPr>
          <w:trHeight w:val="527"/>
        </w:trPr>
        <w:tc>
          <w:tcPr>
            <w:tcW w:w="6464" w:type="dxa"/>
          </w:tcPr>
          <w:p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Resilience</w:t>
            </w:r>
            <w:r w:rsidRPr="00DD6036">
              <w:rPr>
                <w:rFonts w:ascii="Arial" w:eastAsiaTheme="minorEastAsia" w:hAnsi="Arial" w:cs="Arial"/>
                <w:color w:val="1F2A44"/>
              </w:rPr>
              <w:t xml:space="preserve"> – Solves problems, takes learning on board from mistakes to aid personal and professional growth</w:t>
            </w:r>
          </w:p>
        </w:tc>
        <w:tc>
          <w:tcPr>
            <w:tcW w:w="1311" w:type="dxa"/>
          </w:tcPr>
          <w:p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0A3F71" w:rsidRPr="00DD6036" w:rsidTr="003A227B">
        <w:trPr>
          <w:trHeight w:val="397"/>
        </w:trPr>
        <w:tc>
          <w:tcPr>
            <w:tcW w:w="6464" w:type="dxa"/>
          </w:tcPr>
          <w:p w:rsidR="000A3F71" w:rsidRPr="00DD6036" w:rsidRDefault="000F185A" w:rsidP="00247202">
            <w:pPr>
              <w:spacing w:line="264" w:lineRule="auto"/>
              <w:rPr>
                <w:rFonts w:ascii="Arial" w:eastAsiaTheme="minorEastAsia" w:hAnsi="Arial" w:cs="Arial"/>
                <w:color w:val="1F2A44"/>
              </w:rPr>
            </w:pPr>
            <w:r w:rsidRPr="00DD6036">
              <w:rPr>
                <w:rFonts w:ascii="Arial" w:eastAsiaTheme="minorEastAsia" w:hAnsi="Arial" w:cs="Arial"/>
                <w:b/>
                <w:color w:val="1F2A44"/>
              </w:rPr>
              <w:t>Adaptability</w:t>
            </w:r>
            <w:r w:rsidRPr="00DD6036">
              <w:rPr>
                <w:rFonts w:ascii="Arial" w:eastAsiaTheme="minorEastAsia" w:hAnsi="Arial" w:cs="Arial"/>
                <w:color w:val="1F2A44"/>
              </w:rPr>
              <w:t xml:space="preserve"> – </w:t>
            </w:r>
            <w:r w:rsidR="00F52C53" w:rsidRPr="00DD6036">
              <w:rPr>
                <w:rFonts w:ascii="Arial" w:eastAsiaTheme="minorEastAsia" w:hAnsi="Arial" w:cs="Arial"/>
                <w:color w:val="1F2A44"/>
              </w:rPr>
              <w:t>Can work in fast-paced changing environments</w:t>
            </w:r>
            <w:r w:rsidR="00846CBE" w:rsidRPr="00DD6036">
              <w:rPr>
                <w:rFonts w:ascii="Arial" w:eastAsiaTheme="minorEastAsia" w:hAnsi="Arial" w:cs="Arial"/>
                <w:color w:val="1F2A44"/>
              </w:rPr>
              <w:t xml:space="preserve"> </w:t>
            </w:r>
          </w:p>
        </w:tc>
        <w:tc>
          <w:tcPr>
            <w:tcW w:w="1311" w:type="dxa"/>
          </w:tcPr>
          <w:p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0A3F71" w:rsidRPr="00DD6036" w:rsidTr="003A227B">
        <w:trPr>
          <w:trHeight w:val="536"/>
        </w:trPr>
        <w:tc>
          <w:tcPr>
            <w:tcW w:w="6464" w:type="dxa"/>
          </w:tcPr>
          <w:p w:rsidR="000A3F71" w:rsidRPr="00DD6036" w:rsidRDefault="000F185A" w:rsidP="006C5CF5">
            <w:pPr>
              <w:spacing w:line="264" w:lineRule="auto"/>
              <w:rPr>
                <w:rFonts w:ascii="Arial" w:eastAsiaTheme="minorEastAsia" w:hAnsi="Arial" w:cs="Arial"/>
                <w:color w:val="1F2A44"/>
              </w:rPr>
            </w:pPr>
            <w:r w:rsidRPr="00DD6036">
              <w:rPr>
                <w:rFonts w:ascii="Arial" w:eastAsiaTheme="minorEastAsia" w:hAnsi="Arial" w:cs="Arial"/>
                <w:b/>
                <w:color w:val="1F2A44"/>
              </w:rPr>
              <w:t>Confidence</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Has confidence in own abilities, has good eye contact and able to communicate clearly and concisely</w:t>
            </w:r>
          </w:p>
        </w:tc>
        <w:tc>
          <w:tcPr>
            <w:tcW w:w="1311" w:type="dxa"/>
          </w:tcPr>
          <w:p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0A3F71" w:rsidRPr="00DD6036" w:rsidTr="003A227B">
        <w:trPr>
          <w:trHeight w:val="259"/>
        </w:trPr>
        <w:tc>
          <w:tcPr>
            <w:tcW w:w="6464" w:type="dxa"/>
          </w:tcPr>
          <w:p w:rsidR="000A3F71" w:rsidRPr="00DD6036" w:rsidRDefault="00F52C53" w:rsidP="006C5CF5">
            <w:pPr>
              <w:spacing w:line="264" w:lineRule="auto"/>
              <w:rPr>
                <w:rFonts w:ascii="Arial" w:eastAsiaTheme="minorEastAsia" w:hAnsi="Arial" w:cs="Arial"/>
                <w:color w:val="1F2A44"/>
              </w:rPr>
            </w:pPr>
            <w:r w:rsidRPr="00DD6036">
              <w:rPr>
                <w:rFonts w:ascii="Arial" w:eastAsiaTheme="minorEastAsia" w:hAnsi="Arial" w:cs="Arial"/>
                <w:b/>
                <w:color w:val="1F2A44"/>
              </w:rPr>
              <w:t>Team Work</w:t>
            </w:r>
            <w:r w:rsidRPr="00DD6036">
              <w:rPr>
                <w:rFonts w:ascii="Arial" w:eastAsiaTheme="minorEastAsia" w:hAnsi="Arial" w:cs="Arial"/>
                <w:color w:val="1F2A44"/>
              </w:rPr>
              <w:t xml:space="preserve"> – Works in harmony with colleagues to deliver results</w:t>
            </w:r>
            <w:r w:rsidR="006C5CF5" w:rsidRPr="00DD6036">
              <w:rPr>
                <w:rFonts w:ascii="Arial" w:eastAsiaTheme="minorEastAsia" w:hAnsi="Arial" w:cs="Arial"/>
                <w:color w:val="1F2A44"/>
              </w:rPr>
              <w:t xml:space="preserve"> </w:t>
            </w:r>
          </w:p>
        </w:tc>
        <w:tc>
          <w:tcPr>
            <w:tcW w:w="1311" w:type="dxa"/>
          </w:tcPr>
          <w:p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0A3F71" w:rsidRPr="00DD6036" w:rsidTr="003A227B">
        <w:trPr>
          <w:trHeight w:val="536"/>
        </w:trPr>
        <w:tc>
          <w:tcPr>
            <w:tcW w:w="6464" w:type="dxa"/>
          </w:tcPr>
          <w:p w:rsidR="000A3F71" w:rsidRPr="00DD6036" w:rsidRDefault="006C5CF5" w:rsidP="000A3F71">
            <w:pPr>
              <w:spacing w:line="264" w:lineRule="auto"/>
              <w:rPr>
                <w:rFonts w:ascii="Arial" w:eastAsiaTheme="minorEastAsia" w:hAnsi="Arial" w:cs="Arial"/>
                <w:b/>
                <w:color w:val="1F2A44"/>
              </w:rPr>
            </w:pPr>
            <w:r w:rsidRPr="00DD6036">
              <w:rPr>
                <w:rFonts w:ascii="Arial" w:eastAsiaTheme="minorEastAsia" w:hAnsi="Arial" w:cs="Arial"/>
                <w:b/>
                <w:color w:val="1F2A44"/>
              </w:rPr>
              <w:t>Open to Feedback</w:t>
            </w:r>
            <w:r w:rsidRPr="00DD6036">
              <w:rPr>
                <w:rFonts w:ascii="Arial" w:eastAsiaTheme="minorEastAsia" w:hAnsi="Arial" w:cs="Arial"/>
                <w:color w:val="1F2A44"/>
              </w:rPr>
              <w:t xml:space="preserve"> - Open to constructive feedback in order to further develop</w:t>
            </w:r>
          </w:p>
        </w:tc>
        <w:tc>
          <w:tcPr>
            <w:tcW w:w="1311" w:type="dxa"/>
          </w:tcPr>
          <w:p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0A3F71" w:rsidRPr="00DD6036" w:rsidRDefault="000A3F71" w:rsidP="000A3F71">
            <w:pPr>
              <w:spacing w:line="264" w:lineRule="auto"/>
              <w:jc w:val="center"/>
              <w:rPr>
                <w:rFonts w:ascii="Arial" w:eastAsiaTheme="minorEastAsia" w:hAnsi="Arial" w:cs="Arial"/>
                <w:color w:val="1F2A44"/>
              </w:rPr>
            </w:pPr>
          </w:p>
        </w:tc>
      </w:tr>
      <w:tr w:rsidR="00846CBE" w:rsidRPr="00DD6036" w:rsidTr="003A227B">
        <w:trPr>
          <w:trHeight w:val="536"/>
        </w:trPr>
        <w:tc>
          <w:tcPr>
            <w:tcW w:w="6464" w:type="dxa"/>
          </w:tcPr>
          <w:p w:rsidR="00846CBE" w:rsidRPr="00DD6036" w:rsidRDefault="00846CBE" w:rsidP="00247202">
            <w:pPr>
              <w:spacing w:line="264" w:lineRule="auto"/>
              <w:rPr>
                <w:rFonts w:ascii="Arial" w:eastAsiaTheme="minorEastAsia" w:hAnsi="Arial" w:cs="Arial"/>
                <w:b/>
                <w:color w:val="1F2A44"/>
              </w:rPr>
            </w:pPr>
            <w:r w:rsidRPr="00DD6036">
              <w:rPr>
                <w:rFonts w:ascii="Arial" w:eastAsiaTheme="minorEastAsia" w:hAnsi="Arial" w:cs="Arial"/>
                <w:b/>
                <w:color w:val="1F2A44"/>
              </w:rPr>
              <w:t xml:space="preserve">Innovative – </w:t>
            </w:r>
            <w:r w:rsidR="00600FA5" w:rsidRPr="00DD6036">
              <w:rPr>
                <w:rFonts w:ascii="Arial" w:eastAsiaTheme="minorEastAsia" w:hAnsi="Arial" w:cs="Arial"/>
                <w:b/>
                <w:color w:val="1F2A44"/>
              </w:rPr>
              <w:t xml:space="preserve"> </w:t>
            </w:r>
            <w:r w:rsidR="00600FA5" w:rsidRPr="00DD6036">
              <w:rPr>
                <w:rFonts w:ascii="Arial" w:eastAsiaTheme="minorEastAsia" w:hAnsi="Arial" w:cs="Arial"/>
                <w:color w:val="1F2A44"/>
              </w:rPr>
              <w:t>Continually searching for better ways of working</w:t>
            </w:r>
            <w:r w:rsidR="00600FA5" w:rsidRPr="00DD6036">
              <w:rPr>
                <w:rFonts w:ascii="Arial" w:eastAsiaTheme="minorEastAsia" w:hAnsi="Arial" w:cs="Arial"/>
                <w:b/>
                <w:color w:val="1F2A44"/>
              </w:rPr>
              <w:t xml:space="preserve"> </w:t>
            </w:r>
          </w:p>
        </w:tc>
        <w:tc>
          <w:tcPr>
            <w:tcW w:w="1311" w:type="dxa"/>
          </w:tcPr>
          <w:p w:rsidR="00846CBE"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rsidR="00846CBE" w:rsidRPr="00DD6036" w:rsidRDefault="00846CBE" w:rsidP="000A3F71">
            <w:pPr>
              <w:spacing w:line="264" w:lineRule="auto"/>
              <w:jc w:val="center"/>
              <w:rPr>
                <w:rFonts w:ascii="Arial" w:eastAsiaTheme="minorEastAsia" w:hAnsi="Arial" w:cs="Arial"/>
                <w:color w:val="1F2A44"/>
              </w:rPr>
            </w:pPr>
          </w:p>
        </w:tc>
      </w:tr>
      <w:tr w:rsidR="000A3F71" w:rsidRPr="00DD6036" w:rsidTr="003A227B">
        <w:trPr>
          <w:trHeight w:val="231"/>
        </w:trPr>
        <w:tc>
          <w:tcPr>
            <w:tcW w:w="6464" w:type="dxa"/>
            <w:shd w:val="clear" w:color="auto" w:fill="1F2A44"/>
          </w:tcPr>
          <w:p w:rsidR="000A3F71" w:rsidRPr="00DD6036" w:rsidRDefault="000A3F71" w:rsidP="000A3F71">
            <w:pPr>
              <w:rPr>
                <w:rFonts w:ascii="Arial" w:hAnsi="Arial" w:cs="Arial"/>
                <w:b/>
                <w:color w:val="FFFFFF" w:themeColor="background1"/>
              </w:rPr>
            </w:pPr>
            <w:r w:rsidRPr="00DD6036">
              <w:rPr>
                <w:rFonts w:ascii="Arial" w:hAnsi="Arial" w:cs="Arial"/>
                <w:b/>
                <w:color w:val="FFFFFF" w:themeColor="background1"/>
              </w:rPr>
              <w:t>Qualification</w:t>
            </w:r>
          </w:p>
        </w:tc>
        <w:tc>
          <w:tcPr>
            <w:tcW w:w="1311" w:type="dxa"/>
            <w:shd w:val="clear" w:color="auto" w:fill="1F2A44"/>
          </w:tcPr>
          <w:p w:rsidR="000A3F71" w:rsidRPr="00DD6036" w:rsidRDefault="000A3F71" w:rsidP="000A3F71">
            <w:pPr>
              <w:jc w:val="center"/>
              <w:rPr>
                <w:rFonts w:ascii="Arial" w:hAnsi="Arial" w:cs="Arial"/>
                <w:b/>
                <w:color w:val="FFFFFF" w:themeColor="background1"/>
                <w:sz w:val="32"/>
              </w:rPr>
            </w:pPr>
          </w:p>
        </w:tc>
        <w:tc>
          <w:tcPr>
            <w:tcW w:w="1288" w:type="dxa"/>
            <w:shd w:val="clear" w:color="auto" w:fill="1F2A44"/>
          </w:tcPr>
          <w:p w:rsidR="000A3F71" w:rsidRPr="00DD6036" w:rsidRDefault="000A3F71" w:rsidP="000A3F71">
            <w:pPr>
              <w:jc w:val="center"/>
              <w:rPr>
                <w:rFonts w:ascii="Arial" w:hAnsi="Arial" w:cs="Arial"/>
                <w:b/>
                <w:color w:val="FFFFFF" w:themeColor="background1"/>
                <w:sz w:val="32"/>
              </w:rPr>
            </w:pPr>
          </w:p>
        </w:tc>
      </w:tr>
      <w:tr w:rsidR="005A5A2B" w:rsidRPr="00DD6036" w:rsidTr="005A5A2B">
        <w:trPr>
          <w:trHeight w:val="543"/>
        </w:trPr>
        <w:tc>
          <w:tcPr>
            <w:tcW w:w="6464" w:type="dxa"/>
          </w:tcPr>
          <w:p w:rsidR="005A5A2B" w:rsidRPr="00605639" w:rsidRDefault="00605639" w:rsidP="00482045">
            <w:pPr>
              <w:pStyle w:val="NoSpacing"/>
              <w:rPr>
                <w:rFonts w:ascii="Arial" w:eastAsiaTheme="minorEastAsia" w:hAnsi="Arial" w:cs="Arial"/>
                <w:bCs/>
                <w:color w:val="1F2A44"/>
              </w:rPr>
            </w:pPr>
            <w:r w:rsidRPr="00605639">
              <w:rPr>
                <w:rFonts w:ascii="Arial" w:eastAsiaTheme="minorEastAsia" w:hAnsi="Arial" w:cs="Arial"/>
                <w:bCs/>
                <w:color w:val="1F2A44"/>
              </w:rPr>
              <w:t>Possession of a recognised counselling degree/diploma (Level 4 or above)</w:t>
            </w:r>
          </w:p>
          <w:p w:rsidR="00605639" w:rsidRPr="00DD6036" w:rsidRDefault="00605639" w:rsidP="00482045">
            <w:pPr>
              <w:pStyle w:val="NoSpacing"/>
              <w:rPr>
                <w:rFonts w:ascii="Arial" w:eastAsiaTheme="minorEastAsia" w:hAnsi="Arial" w:cs="Arial"/>
                <w:b/>
                <w:color w:val="1F2A44"/>
              </w:rPr>
            </w:pPr>
          </w:p>
        </w:tc>
        <w:tc>
          <w:tcPr>
            <w:tcW w:w="1311" w:type="dxa"/>
          </w:tcPr>
          <w:p w:rsidR="005A5A2B" w:rsidRPr="00DD6036" w:rsidRDefault="00605639" w:rsidP="005A5A2B">
            <w:pPr>
              <w:spacing w:line="264" w:lineRule="auto"/>
              <w:jc w:val="center"/>
              <w:rPr>
                <w:rFonts w:ascii="Arial" w:eastAsiaTheme="minorEastAsia" w:hAnsi="Arial" w:cs="Arial"/>
                <w:color w:val="1F2A44"/>
              </w:rPr>
            </w:pPr>
            <w:r>
              <w:rPr>
                <w:rFonts w:ascii="Arial" w:eastAsiaTheme="minorEastAsia" w:hAnsi="Arial" w:cs="Arial"/>
                <w:color w:val="1F2A44"/>
              </w:rPr>
              <w:t>E</w:t>
            </w:r>
          </w:p>
        </w:tc>
        <w:tc>
          <w:tcPr>
            <w:tcW w:w="1288" w:type="dxa"/>
          </w:tcPr>
          <w:p w:rsidR="005A5A2B" w:rsidRPr="00DD6036" w:rsidRDefault="005A5A2B" w:rsidP="005A5A2B">
            <w:pPr>
              <w:spacing w:line="264" w:lineRule="auto"/>
              <w:jc w:val="center"/>
              <w:rPr>
                <w:rFonts w:ascii="Arial" w:eastAsiaTheme="minorEastAsia" w:hAnsi="Arial" w:cs="Arial"/>
                <w:color w:val="1F2A44"/>
              </w:rPr>
            </w:pPr>
          </w:p>
        </w:tc>
      </w:tr>
      <w:tr w:rsidR="00482045" w:rsidRPr="00DD6036" w:rsidTr="005A5A2B">
        <w:trPr>
          <w:trHeight w:val="543"/>
        </w:trPr>
        <w:tc>
          <w:tcPr>
            <w:tcW w:w="6464" w:type="dxa"/>
          </w:tcPr>
          <w:p w:rsidR="00482045" w:rsidRPr="00DD6036" w:rsidRDefault="00605639" w:rsidP="00482045">
            <w:pPr>
              <w:pStyle w:val="NoSpacing"/>
              <w:rPr>
                <w:rFonts w:ascii="Arial" w:hAnsi="Arial" w:cs="Arial"/>
              </w:rPr>
            </w:pPr>
            <w:r>
              <w:rPr>
                <w:rFonts w:ascii="Arial" w:hAnsi="Arial" w:cs="Arial"/>
              </w:rPr>
              <w:t>Accreditation with a recognised counselling body</w:t>
            </w:r>
          </w:p>
        </w:tc>
        <w:tc>
          <w:tcPr>
            <w:tcW w:w="1311" w:type="dxa"/>
          </w:tcPr>
          <w:p w:rsidR="00482045" w:rsidRPr="00DD6036" w:rsidRDefault="00605639" w:rsidP="005A5A2B">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rsidR="00482045" w:rsidRPr="00DD6036" w:rsidRDefault="00482045" w:rsidP="005A5A2B">
            <w:pPr>
              <w:spacing w:line="264" w:lineRule="auto"/>
              <w:jc w:val="center"/>
              <w:rPr>
                <w:rFonts w:ascii="Arial" w:eastAsiaTheme="minorEastAsia" w:hAnsi="Arial" w:cs="Arial"/>
                <w:color w:val="1F2A44"/>
              </w:rPr>
            </w:pPr>
          </w:p>
        </w:tc>
      </w:tr>
    </w:tbl>
    <w:p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3292" w:rsidRDefault="00B43292" w:rsidP="00E513CD">
      <w:pPr>
        <w:spacing w:after="0" w:line="240" w:lineRule="auto"/>
      </w:pPr>
      <w:r>
        <w:separator/>
      </w:r>
    </w:p>
  </w:endnote>
  <w:endnote w:type="continuationSeparator" w:id="0">
    <w:p w:rsidR="00B43292" w:rsidRDefault="00B43292"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3292" w:rsidRDefault="00B43292" w:rsidP="00E513CD">
      <w:pPr>
        <w:spacing w:after="0" w:line="240" w:lineRule="auto"/>
      </w:pPr>
      <w:r>
        <w:separator/>
      </w:r>
    </w:p>
  </w:footnote>
  <w:footnote w:type="continuationSeparator" w:id="0">
    <w:p w:rsidR="00B43292" w:rsidRDefault="00B43292"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4564"/>
    <w:multiLevelType w:val="hybridMultilevel"/>
    <w:tmpl w:val="BEC86ED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7"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47701"/>
    <w:multiLevelType w:val="hybridMultilevel"/>
    <w:tmpl w:val="801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618BD"/>
    <w:multiLevelType w:val="hybridMultilevel"/>
    <w:tmpl w:val="0706D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B00BA8"/>
    <w:multiLevelType w:val="hybridMultilevel"/>
    <w:tmpl w:val="E03A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655590"/>
    <w:multiLevelType w:val="hybridMultilevel"/>
    <w:tmpl w:val="8C30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016D16"/>
    <w:multiLevelType w:val="hybridMultilevel"/>
    <w:tmpl w:val="870668C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9C6A07"/>
    <w:multiLevelType w:val="hybridMultilevel"/>
    <w:tmpl w:val="B254E69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1"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3"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4" w15:restartNumberingAfterBreak="0">
    <w:nsid w:val="71B04812"/>
    <w:multiLevelType w:val="hybridMultilevel"/>
    <w:tmpl w:val="5D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6"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896441">
    <w:abstractNumId w:val="43"/>
  </w:num>
  <w:num w:numId="2" w16cid:durableId="2134399978">
    <w:abstractNumId w:val="12"/>
  </w:num>
  <w:num w:numId="3" w16cid:durableId="751699122">
    <w:abstractNumId w:val="21"/>
  </w:num>
  <w:num w:numId="4" w16cid:durableId="713165332">
    <w:abstractNumId w:val="10"/>
  </w:num>
  <w:num w:numId="5" w16cid:durableId="1887793332">
    <w:abstractNumId w:val="35"/>
  </w:num>
  <w:num w:numId="6" w16cid:durableId="1730155667">
    <w:abstractNumId w:val="38"/>
  </w:num>
  <w:num w:numId="7" w16cid:durableId="1590458040">
    <w:abstractNumId w:val="22"/>
  </w:num>
  <w:num w:numId="8" w16cid:durableId="21591423">
    <w:abstractNumId w:val="39"/>
  </w:num>
  <w:num w:numId="9" w16cid:durableId="397752644">
    <w:abstractNumId w:val="16"/>
  </w:num>
  <w:num w:numId="10" w16cid:durableId="1102918069">
    <w:abstractNumId w:val="36"/>
  </w:num>
  <w:num w:numId="11" w16cid:durableId="557790783">
    <w:abstractNumId w:val="33"/>
  </w:num>
  <w:num w:numId="12" w16cid:durableId="86315250">
    <w:abstractNumId w:val="2"/>
  </w:num>
  <w:num w:numId="13" w16cid:durableId="627056283">
    <w:abstractNumId w:val="46"/>
  </w:num>
  <w:num w:numId="14" w16cid:durableId="883324655">
    <w:abstractNumId w:val="15"/>
  </w:num>
  <w:num w:numId="15" w16cid:durableId="1603565533">
    <w:abstractNumId w:val="3"/>
  </w:num>
  <w:num w:numId="16" w16cid:durableId="1427071562">
    <w:abstractNumId w:val="45"/>
  </w:num>
  <w:num w:numId="17" w16cid:durableId="1538664731">
    <w:abstractNumId w:val="6"/>
  </w:num>
  <w:num w:numId="18" w16cid:durableId="68702019">
    <w:abstractNumId w:val="26"/>
  </w:num>
  <w:num w:numId="19" w16cid:durableId="2018995014">
    <w:abstractNumId w:val="34"/>
  </w:num>
  <w:num w:numId="20" w16cid:durableId="1955356143">
    <w:abstractNumId w:val="13"/>
  </w:num>
  <w:num w:numId="21" w16cid:durableId="1096025367">
    <w:abstractNumId w:val="8"/>
  </w:num>
  <w:num w:numId="22" w16cid:durableId="223221526">
    <w:abstractNumId w:val="20"/>
  </w:num>
  <w:num w:numId="23" w16cid:durableId="1949970176">
    <w:abstractNumId w:val="25"/>
  </w:num>
  <w:num w:numId="24" w16cid:durableId="586883829">
    <w:abstractNumId w:val="18"/>
  </w:num>
  <w:num w:numId="25" w16cid:durableId="360667259">
    <w:abstractNumId w:val="1"/>
  </w:num>
  <w:num w:numId="26" w16cid:durableId="804588137">
    <w:abstractNumId w:val="29"/>
  </w:num>
  <w:num w:numId="27" w16cid:durableId="1100223357">
    <w:abstractNumId w:val="11"/>
  </w:num>
  <w:num w:numId="28" w16cid:durableId="76175278">
    <w:abstractNumId w:val="30"/>
  </w:num>
  <w:num w:numId="29" w16cid:durableId="1629244801">
    <w:abstractNumId w:val="28"/>
  </w:num>
  <w:num w:numId="30" w16cid:durableId="2017535382">
    <w:abstractNumId w:val="47"/>
  </w:num>
  <w:num w:numId="31" w16cid:durableId="468743013">
    <w:abstractNumId w:val="48"/>
  </w:num>
  <w:num w:numId="32" w16cid:durableId="397557642">
    <w:abstractNumId w:val="42"/>
  </w:num>
  <w:num w:numId="33" w16cid:durableId="217981123">
    <w:abstractNumId w:val="0"/>
  </w:num>
  <w:num w:numId="34" w16cid:durableId="40330028">
    <w:abstractNumId w:val="7"/>
  </w:num>
  <w:num w:numId="35" w16cid:durableId="407384603">
    <w:abstractNumId w:val="4"/>
  </w:num>
  <w:num w:numId="36" w16cid:durableId="1748847635">
    <w:abstractNumId w:val="41"/>
  </w:num>
  <w:num w:numId="37" w16cid:durableId="904418291">
    <w:abstractNumId w:val="27"/>
  </w:num>
  <w:num w:numId="38" w16cid:durableId="807673220">
    <w:abstractNumId w:val="23"/>
  </w:num>
  <w:num w:numId="39" w16cid:durableId="1564752501">
    <w:abstractNumId w:val="14"/>
  </w:num>
  <w:num w:numId="40" w16cid:durableId="411858815">
    <w:abstractNumId w:val="9"/>
  </w:num>
  <w:num w:numId="41" w16cid:durableId="637758990">
    <w:abstractNumId w:val="31"/>
  </w:num>
  <w:num w:numId="42" w16cid:durableId="1790203000">
    <w:abstractNumId w:val="17"/>
  </w:num>
  <w:num w:numId="43" w16cid:durableId="1129202823">
    <w:abstractNumId w:val="40"/>
  </w:num>
  <w:num w:numId="44" w16cid:durableId="345063979">
    <w:abstractNumId w:val="5"/>
  </w:num>
  <w:num w:numId="45" w16cid:durableId="1165241358">
    <w:abstractNumId w:val="37"/>
  </w:num>
  <w:num w:numId="46" w16cid:durableId="874535621">
    <w:abstractNumId w:val="24"/>
  </w:num>
  <w:num w:numId="47" w16cid:durableId="1343625103">
    <w:abstractNumId w:val="19"/>
  </w:num>
  <w:num w:numId="48" w16cid:durableId="1953245079">
    <w:abstractNumId w:val="32"/>
  </w:num>
  <w:num w:numId="49" w16cid:durableId="9572985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280F"/>
    <w:rsid w:val="00017483"/>
    <w:rsid w:val="00050E35"/>
    <w:rsid w:val="00073C01"/>
    <w:rsid w:val="000A3F71"/>
    <w:rsid w:val="000C2FE7"/>
    <w:rsid w:val="000D2F64"/>
    <w:rsid w:val="000F185A"/>
    <w:rsid w:val="00101ADA"/>
    <w:rsid w:val="0011354A"/>
    <w:rsid w:val="00140BD9"/>
    <w:rsid w:val="001427A1"/>
    <w:rsid w:val="00152E49"/>
    <w:rsid w:val="001661E6"/>
    <w:rsid w:val="00181FE9"/>
    <w:rsid w:val="00205BEB"/>
    <w:rsid w:val="002214C6"/>
    <w:rsid w:val="00223295"/>
    <w:rsid w:val="00230F23"/>
    <w:rsid w:val="00247202"/>
    <w:rsid w:val="00254B6B"/>
    <w:rsid w:val="002C0089"/>
    <w:rsid w:val="002E18D6"/>
    <w:rsid w:val="00312652"/>
    <w:rsid w:val="003222F0"/>
    <w:rsid w:val="0035668E"/>
    <w:rsid w:val="003909FA"/>
    <w:rsid w:val="003A227B"/>
    <w:rsid w:val="003D2CCE"/>
    <w:rsid w:val="003E399B"/>
    <w:rsid w:val="00411AB7"/>
    <w:rsid w:val="004122BA"/>
    <w:rsid w:val="00414CED"/>
    <w:rsid w:val="004257D2"/>
    <w:rsid w:val="00482045"/>
    <w:rsid w:val="004F0490"/>
    <w:rsid w:val="00530D72"/>
    <w:rsid w:val="00545EF3"/>
    <w:rsid w:val="005A5A2B"/>
    <w:rsid w:val="005D4224"/>
    <w:rsid w:val="005D4271"/>
    <w:rsid w:val="00600FA5"/>
    <w:rsid w:val="00605639"/>
    <w:rsid w:val="006245C7"/>
    <w:rsid w:val="00663A0B"/>
    <w:rsid w:val="006902BB"/>
    <w:rsid w:val="006C5CF5"/>
    <w:rsid w:val="006D6956"/>
    <w:rsid w:val="00715BB4"/>
    <w:rsid w:val="0072687C"/>
    <w:rsid w:val="0072794C"/>
    <w:rsid w:val="00732E11"/>
    <w:rsid w:val="00736D98"/>
    <w:rsid w:val="00742B7A"/>
    <w:rsid w:val="00747875"/>
    <w:rsid w:val="00791E72"/>
    <w:rsid w:val="007A4D3C"/>
    <w:rsid w:val="00846CBE"/>
    <w:rsid w:val="008606D9"/>
    <w:rsid w:val="008E73D0"/>
    <w:rsid w:val="00A059C5"/>
    <w:rsid w:val="00A603F3"/>
    <w:rsid w:val="00A800F5"/>
    <w:rsid w:val="00AA0E07"/>
    <w:rsid w:val="00AA1793"/>
    <w:rsid w:val="00AC48E2"/>
    <w:rsid w:val="00B076B7"/>
    <w:rsid w:val="00B43292"/>
    <w:rsid w:val="00B841A9"/>
    <w:rsid w:val="00B964F4"/>
    <w:rsid w:val="00BE0157"/>
    <w:rsid w:val="00C12CB6"/>
    <w:rsid w:val="00C40615"/>
    <w:rsid w:val="00C55F06"/>
    <w:rsid w:val="00C77A43"/>
    <w:rsid w:val="00CA5E10"/>
    <w:rsid w:val="00D013E2"/>
    <w:rsid w:val="00D206C3"/>
    <w:rsid w:val="00D4528A"/>
    <w:rsid w:val="00D75FCE"/>
    <w:rsid w:val="00D87ED5"/>
    <w:rsid w:val="00D941F9"/>
    <w:rsid w:val="00DD163A"/>
    <w:rsid w:val="00DD515E"/>
    <w:rsid w:val="00DD6036"/>
    <w:rsid w:val="00DF3FBC"/>
    <w:rsid w:val="00E21D3A"/>
    <w:rsid w:val="00E462CF"/>
    <w:rsid w:val="00E513CD"/>
    <w:rsid w:val="00EB305C"/>
    <w:rsid w:val="00EB7895"/>
    <w:rsid w:val="00ED0C8F"/>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qFormat/>
    <w:rsid w:val="00742B7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character" w:customStyle="1" w:styleId="Heading7Char">
    <w:name w:val="Heading 7 Char"/>
    <w:basedOn w:val="DefaultParagraphFont"/>
    <w:link w:val="Heading7"/>
    <w:rsid w:val="00742B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3E841-DC62-4803-B6E8-DA366A6DEBE9}">
  <ds:schemaRefs>
    <ds:schemaRef ds:uri="http://schemas.openxmlformats.org/officeDocument/2006/bibliography"/>
  </ds:schemaRefs>
</ds:datastoreItem>
</file>

<file path=customXml/itemProps2.xml><?xml version="1.0" encoding="utf-8"?>
<ds:datastoreItem xmlns:ds="http://schemas.openxmlformats.org/officeDocument/2006/customXml" ds:itemID="{4436BA9C-77DF-424E-AF7F-54C18BD0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FAB6A-F0B0-4271-BE72-82D3FBFB5AFE}">
  <ds:schemaRefs>
    <ds:schemaRef ds:uri="http://schemas.microsoft.com/sharepoint/v3/contenttype/forms"/>
  </ds:schemaRefs>
</ds:datastoreItem>
</file>

<file path=customXml/itemProps4.xml><?xml version="1.0" encoding="utf-8"?>
<ds:datastoreItem xmlns:ds="http://schemas.openxmlformats.org/officeDocument/2006/customXml" ds:itemID="{573887F8-A613-4297-A347-BC8236ED9E74}">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Harkiran Kaur</cp:lastModifiedBy>
  <cp:revision>1</cp:revision>
  <cp:lastPrinted>2019-01-18T12:58:00Z</cp:lastPrinted>
  <dcterms:created xsi:type="dcterms:W3CDTF">2025-04-01T10:19:00Z</dcterms:created>
  <dcterms:modified xsi:type="dcterms:W3CDTF">2025-04-01T10:19:00Z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ies>
</file>