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18" w:rsidRDefault="002D6676">
      <w:pPr>
        <w:spacing w:after="0" w:line="259" w:lineRule="auto"/>
        <w:ind w:left="0" w:firstLine="0"/>
        <w:jc w:val="left"/>
      </w:pPr>
      <w:r>
        <w:rPr>
          <w:b/>
          <w:color w:val="1F2A44"/>
          <w:sz w:val="36"/>
        </w:rPr>
        <w:t>The Forward Trust Job Description</w:t>
      </w:r>
      <w:r>
        <w:rPr>
          <w:b/>
          <w:sz w:val="36"/>
        </w:rPr>
        <w:t xml:space="preserve"> </w:t>
      </w:r>
    </w:p>
    <w:p w:rsidR="001F5618" w:rsidRDefault="002D667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44" w:type="dxa"/>
        <w:tblInd w:w="4" w:type="dxa"/>
        <w:tblCellMar>
          <w:top w:w="10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3826"/>
        <w:gridCol w:w="1561"/>
        <w:gridCol w:w="1815"/>
      </w:tblGrid>
      <w:tr w:rsidR="001F5618">
        <w:trPr>
          <w:trHeight w:val="13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6" w:firstLine="0"/>
              <w:jc w:val="left"/>
            </w:pPr>
            <w:r>
              <w:rPr>
                <w:b/>
                <w:sz w:val="24"/>
              </w:rPr>
              <w:t xml:space="preserve">Position Title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Band 6 Substance Misuse Nurse 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Reports to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18" w:rsidRDefault="002D66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Clinical </w:t>
            </w:r>
          </w:p>
          <w:p w:rsidR="001F5618" w:rsidRDefault="002D6676">
            <w:pPr>
              <w:spacing w:after="0" w:line="259" w:lineRule="auto"/>
              <w:ind w:left="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Manager, </w:t>
            </w:r>
          </w:p>
          <w:p w:rsidR="002D6676" w:rsidRPr="002D6676" w:rsidRDefault="002D6676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2D6676">
              <w:rPr>
                <w:b/>
              </w:rPr>
              <w:t xml:space="preserve">HMP </w:t>
            </w:r>
            <w:proofErr w:type="spellStart"/>
            <w:r w:rsidRPr="002D6676">
              <w:rPr>
                <w:b/>
              </w:rPr>
              <w:t>Highdown</w:t>
            </w:r>
            <w:proofErr w:type="spellEnd"/>
          </w:p>
          <w:p w:rsidR="001F5618" w:rsidRDefault="002D667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F5618">
        <w:trPr>
          <w:trHeight w:val="324"/>
        </w:trPr>
        <w:tc>
          <w:tcPr>
            <w:tcW w:w="56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FFFFFF"/>
                <w:sz w:val="28"/>
              </w:rPr>
              <w:t xml:space="preserve">Introducing Forward Trust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2A44"/>
          </w:tcPr>
          <w:p w:rsidR="001F5618" w:rsidRDefault="001F56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1F2A44"/>
          </w:tcPr>
          <w:p w:rsidR="001F5618" w:rsidRDefault="001F561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F5618" w:rsidRDefault="002D667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:rsidR="001F5618" w:rsidRDefault="002D6676">
      <w:pPr>
        <w:spacing w:after="120" w:line="285" w:lineRule="auto"/>
        <w:ind w:left="-5" w:hanging="10"/>
        <w:jc w:val="left"/>
      </w:pPr>
      <w:r>
        <w:t xml:space="preserve">We are The Forward Trust (formerly </w:t>
      </w:r>
      <w:proofErr w:type="spellStart"/>
      <w:r>
        <w:t>RAPt</w:t>
      </w:r>
      <w:proofErr w:type="spellEnd"/>
      <w:r>
        <w:t>), the social enterprise with charitable status that empowers people to break the often-interlinked</w:t>
      </w:r>
      <w:r>
        <w:t xml:space="preserve"> cycles of crime and addiction to move forward with their lives. For more than 25 years,</w:t>
      </w:r>
      <w:r>
        <w:t xml:space="preserve"> we have been working with people to build positive and pr</w:t>
      </w:r>
      <w:r>
        <w:t>oductive lives, whatever their past. We believe that anyone is capable of lasting change. Our services have supported thousands of people to make positive changes and build productive lives with a job, family, friends,</w:t>
      </w:r>
      <w:r>
        <w:t xml:space="preserve"> and a sense of community. </w:t>
      </w:r>
    </w:p>
    <w:p w:rsidR="001F5618" w:rsidRDefault="002D6676">
      <w:pPr>
        <w:spacing w:after="32" w:line="259" w:lineRule="auto"/>
        <w:ind w:left="0" w:firstLine="0"/>
        <w:jc w:val="left"/>
      </w:pPr>
      <w:r>
        <w:t xml:space="preserve"> </w:t>
      </w:r>
    </w:p>
    <w:p w:rsidR="001F5618" w:rsidRDefault="002D667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68"/>
        <w:ind w:left="110"/>
      </w:pPr>
      <w:r>
        <w:t>Role Over</w:t>
      </w:r>
      <w:r>
        <w:t xml:space="preserve">view </w:t>
      </w:r>
    </w:p>
    <w:p w:rsidR="001F5618" w:rsidRDefault="002D6676">
      <w:pPr>
        <w:ind w:left="0" w:right="4" w:firstLine="0"/>
      </w:pPr>
      <w:r>
        <w:t>To provide high-quality clinical assessment and treatment to substance-dependent</w:t>
      </w:r>
      <w:r>
        <w:t xml:space="preserve"> clients in a residential setting, working in a multidisciplinary</w:t>
      </w:r>
      <w:r>
        <w:t xml:space="preserve"> team.  </w:t>
      </w:r>
    </w:p>
    <w:p w:rsidR="001F5618" w:rsidRDefault="002D6676">
      <w:pPr>
        <w:ind w:left="0" w:right="4" w:firstLine="0"/>
      </w:pPr>
      <w:r>
        <w:t>You will ensure the delivery and monitoring of high standards of nursing care and relevant substance misuse interventions to all Service Users by</w:t>
      </w:r>
      <w:r>
        <w:t xml:space="preserve"> the standards set out in the NMC Code of Conduct.  </w:t>
      </w:r>
    </w:p>
    <w:p w:rsidR="001F5618" w:rsidRDefault="002D6676">
      <w:pPr>
        <w:spacing w:after="201"/>
        <w:ind w:left="0" w:right="4" w:firstLine="0"/>
      </w:pPr>
      <w:r>
        <w:t>As a Senior Nurse, you will demonstrate le</w:t>
      </w:r>
      <w:r>
        <w:t xml:space="preserve">adership and undertake managerial responsibilities when required. </w:t>
      </w:r>
    </w:p>
    <w:p w:rsidR="001F5618" w:rsidRDefault="002D6676">
      <w:pPr>
        <w:pStyle w:val="Heading1"/>
      </w:pPr>
      <w:r>
        <w:t xml:space="preserve">Accountabilities </w:t>
      </w:r>
    </w:p>
    <w:p w:rsidR="001F5618" w:rsidRDefault="002D6676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1F5618" w:rsidRDefault="002D6676">
      <w:pPr>
        <w:pStyle w:val="Heading2"/>
        <w:ind w:left="-5"/>
      </w:pPr>
      <w:r>
        <w:t xml:space="preserve">Clinical Responsibilities </w:t>
      </w:r>
    </w:p>
    <w:p w:rsidR="001F5618" w:rsidRDefault="002D6676">
      <w:pPr>
        <w:spacing w:after="0" w:line="259" w:lineRule="auto"/>
        <w:ind w:left="0" w:firstLine="0"/>
        <w:jc w:val="left"/>
      </w:pPr>
      <w:r>
        <w:rPr>
          <w:b/>
          <w:color w:val="1F2A44"/>
        </w:rPr>
        <w:t xml:space="preserve">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>Provide high standards of nursing care through ongoing</w:t>
      </w:r>
      <w:r>
        <w:t xml:space="preserve"> clinical assessment, planning, implementation,</w:t>
      </w:r>
      <w:r>
        <w:t xml:space="preserve"> and evaluation of treatment for drug a</w:t>
      </w:r>
      <w:r>
        <w:t xml:space="preserve">nd alcohol users 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 xml:space="preserve">Work with a high degree of autonomy and professional accountability to safely deliver healthcare </w:t>
      </w:r>
    </w:p>
    <w:p w:rsidR="001F5618" w:rsidRDefault="002D6676">
      <w:pPr>
        <w:numPr>
          <w:ilvl w:val="0"/>
          <w:numId w:val="1"/>
        </w:numPr>
        <w:spacing w:after="30"/>
        <w:ind w:right="4" w:hanging="360"/>
      </w:pPr>
      <w:r>
        <w:t>Manage sensitive information empathetically</w:t>
      </w:r>
      <w:r>
        <w:t>. This includes sharing and discussing a patient’s changing condition or needs with other relevant</w:t>
      </w:r>
      <w:r>
        <w:t xml:space="preserve"> professionals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 xml:space="preserve">Participate in inter-professional and multidisciplinary working, to ensure continuity of care.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>Contribute to the development, implementation,</w:t>
      </w:r>
      <w:r>
        <w:t xml:space="preserve"> and evaluation of clinical and psychosocial service delivery 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>Safely manage high-risk</w:t>
      </w:r>
      <w:r>
        <w:t xml:space="preserve"> areas and c</w:t>
      </w:r>
      <w:r>
        <w:t>arry out risk assessments,</w:t>
      </w:r>
      <w:r>
        <w:t xml:space="preserve"> including: </w:t>
      </w:r>
    </w:p>
    <w:p w:rsidR="001F5618" w:rsidRDefault="002D6676">
      <w:pPr>
        <w:numPr>
          <w:ilvl w:val="1"/>
          <w:numId w:val="1"/>
        </w:numPr>
        <w:spacing w:after="0" w:line="285" w:lineRule="auto"/>
        <w:ind w:right="1531" w:hanging="360"/>
        <w:jc w:val="left"/>
      </w:pPr>
      <w:r>
        <w:t xml:space="preserve">Handling hazardous material and body fluids </w:t>
      </w:r>
      <w:r>
        <w:rPr>
          <w:rFonts w:ascii="Courier New" w:eastAsia="Courier New" w:hAnsi="Courier New" w:cs="Courier New"/>
        </w:rPr>
        <w:t>o</w:t>
      </w:r>
      <w:r>
        <w:t xml:space="preserve"> Challenging behaviour and high-risk</w:t>
      </w:r>
      <w:r>
        <w:t xml:space="preserve"> situations </w:t>
      </w:r>
      <w:r>
        <w:rPr>
          <w:rFonts w:ascii="Courier New" w:eastAsia="Courier New" w:hAnsi="Courier New" w:cs="Courier New"/>
        </w:rPr>
        <w:t>o</w:t>
      </w:r>
      <w:r>
        <w:t xml:space="preserve"> Adult/child safeguarding concerns </w:t>
      </w:r>
    </w:p>
    <w:p w:rsidR="001F5618" w:rsidRDefault="002D6676">
      <w:pPr>
        <w:numPr>
          <w:ilvl w:val="1"/>
          <w:numId w:val="1"/>
        </w:numPr>
        <w:ind w:right="1531" w:hanging="360"/>
        <w:jc w:val="left"/>
      </w:pPr>
      <w:r>
        <w:t xml:space="preserve">Illicit Drug Use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lastRenderedPageBreak/>
        <w:t>Promote the health and well-</w:t>
      </w:r>
      <w:r>
        <w:t xml:space="preserve">being of patients, supporting their often complex needs to maintain their optimum level of physical and psychological health 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 xml:space="preserve">Ensure care plans and needs assessments are reviewed and maintained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>Hold an individual caseload of patients and manage these eff</w:t>
      </w:r>
      <w:r>
        <w:t xml:space="preserve">ectively </w:t>
      </w:r>
    </w:p>
    <w:p w:rsidR="001F5618" w:rsidRDefault="002D6676">
      <w:pPr>
        <w:numPr>
          <w:ilvl w:val="0"/>
          <w:numId w:val="1"/>
        </w:numPr>
        <w:ind w:right="4" w:hanging="360"/>
      </w:pPr>
      <w:r>
        <w:t>Ensure the 6 ‘C’s are embedded in your clinical practice</w:t>
      </w:r>
      <w:r>
        <w:t xml:space="preserve"> </w:t>
      </w:r>
    </w:p>
    <w:p w:rsidR="001F5618" w:rsidRDefault="002D6676">
      <w:pPr>
        <w:numPr>
          <w:ilvl w:val="0"/>
          <w:numId w:val="1"/>
        </w:numPr>
        <w:spacing w:after="149"/>
        <w:ind w:right="4" w:hanging="360"/>
      </w:pPr>
      <w:r>
        <w:t>Ensure that all aspects of professional behaviour and standards are practised by</w:t>
      </w:r>
      <w:r>
        <w:t xml:space="preserve"> the NMC Code of Conduct at all times.  </w:t>
      </w:r>
    </w:p>
    <w:p w:rsidR="001F5618" w:rsidRDefault="002D6676">
      <w:pPr>
        <w:pStyle w:val="Heading2"/>
        <w:ind w:left="-5"/>
      </w:pPr>
      <w:r>
        <w:t xml:space="preserve">Medicines Management </w:t>
      </w:r>
    </w:p>
    <w:p w:rsidR="001F5618" w:rsidRDefault="002D6676">
      <w:pPr>
        <w:spacing w:after="17" w:line="259" w:lineRule="auto"/>
        <w:ind w:left="0" w:firstLine="0"/>
        <w:jc w:val="left"/>
      </w:pPr>
      <w:r>
        <w:rPr>
          <w:b/>
          <w:color w:val="1F2A44"/>
          <w:sz w:val="20"/>
        </w:rPr>
        <w:t xml:space="preserve"> </w:t>
      </w:r>
    </w:p>
    <w:p w:rsidR="001F5618" w:rsidRDefault="002D6676">
      <w:pPr>
        <w:numPr>
          <w:ilvl w:val="0"/>
          <w:numId w:val="2"/>
        </w:numPr>
        <w:ind w:right="4" w:hanging="360"/>
      </w:pPr>
      <w:r>
        <w:t>Delivery of prescribed medi</w:t>
      </w:r>
      <w:r>
        <w:t xml:space="preserve">cation following patient assessment.  </w:t>
      </w:r>
    </w:p>
    <w:p w:rsidR="001F5618" w:rsidRDefault="002D6676">
      <w:pPr>
        <w:numPr>
          <w:ilvl w:val="0"/>
          <w:numId w:val="2"/>
        </w:numPr>
        <w:ind w:right="4" w:hanging="360"/>
      </w:pPr>
      <w:r>
        <w:t>Accountable and responsible for risk management and withholding</w:t>
      </w:r>
      <w:r>
        <w:t xml:space="preserve"> medication when appropriate, and ensure </w:t>
      </w:r>
      <w:r>
        <w:t xml:space="preserve">that the correct reporting procedures are adhered to. </w:t>
      </w:r>
    </w:p>
    <w:p w:rsidR="001F5618" w:rsidRDefault="002D6676">
      <w:pPr>
        <w:numPr>
          <w:ilvl w:val="0"/>
          <w:numId w:val="2"/>
        </w:numPr>
        <w:ind w:right="4" w:hanging="360"/>
      </w:pPr>
      <w:r>
        <w:t>Participate in the medication audit process, ensuring recommenda</w:t>
      </w:r>
      <w:r>
        <w:t xml:space="preserve">tions are implemented. </w:t>
      </w:r>
    </w:p>
    <w:p w:rsidR="001F5618" w:rsidRDefault="002D6676">
      <w:pPr>
        <w:spacing w:after="237" w:line="259" w:lineRule="auto"/>
        <w:ind w:left="721" w:firstLine="0"/>
        <w:jc w:val="left"/>
      </w:pPr>
      <w:r>
        <w:t xml:space="preserve"> </w:t>
      </w:r>
    </w:p>
    <w:p w:rsidR="001F5618" w:rsidRDefault="002D6676">
      <w:pPr>
        <w:pStyle w:val="Heading2"/>
        <w:ind w:left="-5"/>
      </w:pPr>
      <w:r>
        <w:t xml:space="preserve">Education and Development </w:t>
      </w:r>
    </w:p>
    <w:p w:rsidR="001F5618" w:rsidRDefault="002D6676">
      <w:pPr>
        <w:spacing w:after="10" w:line="259" w:lineRule="auto"/>
        <w:ind w:left="0" w:firstLine="0"/>
        <w:jc w:val="left"/>
      </w:pPr>
      <w:r>
        <w:rPr>
          <w:b/>
          <w:color w:val="1F2A44"/>
          <w:sz w:val="21"/>
        </w:rPr>
        <w:t xml:space="preserve"> </w:t>
      </w:r>
    </w:p>
    <w:p w:rsidR="001F5618" w:rsidRDefault="002D6676">
      <w:pPr>
        <w:numPr>
          <w:ilvl w:val="0"/>
          <w:numId w:val="3"/>
        </w:numPr>
        <w:ind w:right="4" w:hanging="360"/>
      </w:pPr>
      <w:r>
        <w:t>Participate in continuous professional development opportunities,</w:t>
      </w:r>
      <w:r>
        <w:t xml:space="preserve"> ensuring requirements of revalidation are met, including providing training to colleagues at custodial</w:t>
      </w:r>
      <w:r>
        <w:t xml:space="preserve"> about</w:t>
      </w:r>
      <w:r>
        <w:t xml:space="preserve"> any areas of personal expertise and interest. </w:t>
      </w:r>
    </w:p>
    <w:p w:rsidR="001F5618" w:rsidRDefault="002D6676">
      <w:pPr>
        <w:numPr>
          <w:ilvl w:val="0"/>
          <w:numId w:val="3"/>
        </w:numPr>
        <w:ind w:right="4" w:hanging="360"/>
      </w:pPr>
      <w:r>
        <w:t>Ensure professional dev</w:t>
      </w:r>
      <w:r>
        <w:t xml:space="preserve">elopment and updating of knowledge to meet PREP requirements of the NMC. </w:t>
      </w:r>
    </w:p>
    <w:p w:rsidR="001F5618" w:rsidRDefault="002D6676">
      <w:pPr>
        <w:numPr>
          <w:ilvl w:val="0"/>
          <w:numId w:val="3"/>
        </w:numPr>
        <w:ind w:right="4" w:hanging="360"/>
      </w:pPr>
      <w:r>
        <w:t>Have knowledge and understanding of the requirements of the Department of Health Drug Misuse and Dependence UK Guidelines on Clinical Management and all other relevant policy and res</w:t>
      </w:r>
      <w:r>
        <w:t xml:space="preserve">earch updates as outlined in your supervision. </w:t>
      </w:r>
    </w:p>
    <w:p w:rsidR="001F5618" w:rsidRDefault="002D6676">
      <w:pPr>
        <w:numPr>
          <w:ilvl w:val="0"/>
          <w:numId w:val="3"/>
        </w:numPr>
        <w:ind w:right="4" w:hanging="360"/>
      </w:pPr>
      <w:r>
        <w:t>Up-to-date</w:t>
      </w:r>
      <w:r>
        <w:t xml:space="preserve"> knowledge in all aspects of clinical practice, and act as a resource to colleagues. </w:t>
      </w:r>
    </w:p>
    <w:p w:rsidR="001F5618" w:rsidRDefault="002D6676">
      <w:pPr>
        <w:numPr>
          <w:ilvl w:val="0"/>
          <w:numId w:val="3"/>
        </w:numPr>
        <w:spacing w:after="114"/>
        <w:ind w:right="4" w:hanging="360"/>
      </w:pPr>
      <w:r>
        <w:t xml:space="preserve">Participate in the development and implementation of service improvement initiatives. </w:t>
      </w:r>
    </w:p>
    <w:p w:rsidR="001F5618" w:rsidRDefault="002D6676">
      <w:pPr>
        <w:spacing w:after="0" w:line="259" w:lineRule="auto"/>
        <w:ind w:left="0" w:firstLine="0"/>
        <w:jc w:val="left"/>
      </w:pPr>
      <w:r>
        <w:rPr>
          <w:b/>
          <w:color w:val="1F2A44"/>
        </w:rPr>
        <w:t xml:space="preserve"> </w:t>
      </w:r>
    </w:p>
    <w:p w:rsidR="001F5618" w:rsidRDefault="002D6676">
      <w:pPr>
        <w:pStyle w:val="Heading2"/>
        <w:ind w:left="-5"/>
      </w:pPr>
      <w:r>
        <w:t xml:space="preserve">Nurse Management </w:t>
      </w:r>
    </w:p>
    <w:p w:rsidR="001F5618" w:rsidRDefault="002D6676">
      <w:pPr>
        <w:spacing w:after="30" w:line="259" w:lineRule="auto"/>
        <w:ind w:left="0" w:firstLine="0"/>
        <w:jc w:val="left"/>
      </w:pPr>
      <w:r>
        <w:rPr>
          <w:b/>
          <w:color w:val="404040"/>
          <w:sz w:val="21"/>
        </w:rPr>
        <w:t xml:space="preserve"> </w:t>
      </w:r>
    </w:p>
    <w:p w:rsidR="001F5618" w:rsidRDefault="002D6676">
      <w:pPr>
        <w:numPr>
          <w:ilvl w:val="0"/>
          <w:numId w:val="4"/>
        </w:numPr>
        <w:spacing w:after="44"/>
        <w:ind w:right="4" w:hanging="360"/>
      </w:pPr>
      <w:r>
        <w:t>Tak</w:t>
      </w:r>
      <w:r>
        <w:t xml:space="preserve">e ownership and responsibility within the Medical Team for line management of the nursing and HCA Team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Work closely with the Clinical Manager, and act up in the Clinical Manager’s absence, to ensure the day-to-day</w:t>
      </w:r>
      <w:r>
        <w:t xml:space="preserve"> running of the Medical Centre meets CQC r</w:t>
      </w:r>
      <w:r>
        <w:t xml:space="preserve">equirements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 xml:space="preserve">Assist with the provision of shift cover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 xml:space="preserve">Undertake clinical audits, supporting medicines management systems, and </w:t>
      </w:r>
      <w:r>
        <w:t xml:space="preserve">ensure stock levels are maintained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 xml:space="preserve">Provide clinical supervision for all Band 5 nurses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Oversee and ensure clinical risk is monitored</w:t>
      </w:r>
      <w:r>
        <w:t xml:space="preserve"> to a high standard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Attend clinical meetings, relevant groups and committees, including clinical governance and quality meetings,</w:t>
      </w:r>
      <w:r>
        <w:t xml:space="preserve"> when directed by the Clinical Manager.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 xml:space="preserve">Support junior staff with their NMC revalidation process and continuous registration.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Assess and mentor qualified and non/non-qualified</w:t>
      </w:r>
      <w:r>
        <w:t xml:space="preserve"> staff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lastRenderedPageBreak/>
        <w:t xml:space="preserve">Work with the team to help identify and support junior staff learning and development training needs and ensure a good clinical learning environment for all members of the team. 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Supervise junior staff in all aspects of care and be responsible on a shift-to-shift</w:t>
      </w:r>
      <w:r>
        <w:t xml:space="preserve"> basis for the management of clinical staff on duty as directed by the Clinical Manager. </w:t>
      </w:r>
    </w:p>
    <w:p w:rsidR="001F5618" w:rsidRDefault="002D6676">
      <w:pPr>
        <w:numPr>
          <w:ilvl w:val="0"/>
          <w:numId w:val="4"/>
        </w:numPr>
        <w:ind w:right="4" w:hanging="360"/>
      </w:pPr>
      <w:r>
        <w:t>To take on other reasonable tasks and responsibilities as deemed appropriate by th</w:t>
      </w:r>
      <w:r>
        <w:t xml:space="preserve">e Clinical Manager. </w:t>
      </w:r>
    </w:p>
    <w:p w:rsidR="001F5618" w:rsidRDefault="002D6676">
      <w:pPr>
        <w:spacing w:after="2" w:line="259" w:lineRule="auto"/>
        <w:ind w:left="451" w:firstLine="0"/>
        <w:jc w:val="left"/>
      </w:pPr>
      <w:r>
        <w:rPr>
          <w:sz w:val="20"/>
        </w:rPr>
        <w:t xml:space="preserve"> </w:t>
      </w:r>
    </w:p>
    <w:p w:rsidR="001F5618" w:rsidRDefault="002D6676">
      <w:pPr>
        <w:pStyle w:val="Heading2"/>
        <w:spacing w:after="117"/>
        <w:ind w:left="-5"/>
      </w:pPr>
      <w:r>
        <w:t xml:space="preserve">Administration </w:t>
      </w:r>
    </w:p>
    <w:p w:rsidR="001F5618" w:rsidRDefault="002D6676">
      <w:pPr>
        <w:numPr>
          <w:ilvl w:val="0"/>
          <w:numId w:val="5"/>
        </w:numPr>
        <w:ind w:right="4" w:hanging="360"/>
      </w:pPr>
      <w:r>
        <w:t>Ensure all documentation is legible, accurate, dated,</w:t>
      </w:r>
      <w:r>
        <w:t xml:space="preserve"> and signed to the </w:t>
      </w:r>
      <w:r>
        <w:t xml:space="preserve">expected audit and NMC standards. </w:t>
      </w:r>
    </w:p>
    <w:p w:rsidR="001F5618" w:rsidRDefault="002D6676">
      <w:pPr>
        <w:numPr>
          <w:ilvl w:val="0"/>
          <w:numId w:val="5"/>
        </w:numPr>
        <w:spacing w:after="149"/>
        <w:ind w:right="4" w:hanging="360"/>
      </w:pPr>
      <w:r>
        <w:t>Participate in the collection of data for audit, survey,</w:t>
      </w:r>
      <w:r>
        <w:t xml:space="preserve"> and research purposes in line with Forward policies </w:t>
      </w:r>
      <w:r>
        <w:t xml:space="preserve">and GDPR. </w:t>
      </w:r>
    </w:p>
    <w:p w:rsidR="001F5618" w:rsidRDefault="002D6676">
      <w:pPr>
        <w:pStyle w:val="Heading2"/>
        <w:spacing w:after="117"/>
        <w:ind w:left="-5"/>
      </w:pPr>
      <w:r>
        <w:t xml:space="preserve">Communication </w:t>
      </w:r>
    </w:p>
    <w:p w:rsidR="001F5618" w:rsidRDefault="002D6676">
      <w:pPr>
        <w:numPr>
          <w:ilvl w:val="0"/>
          <w:numId w:val="6"/>
        </w:numPr>
        <w:ind w:right="4" w:hanging="360"/>
      </w:pPr>
      <w:r>
        <w:t>Maintain a high level of professionalism at all times by</w:t>
      </w:r>
      <w:r>
        <w:t xml:space="preserve"> NMC Standards and the Forward Trust values. Acting as an ambassador for the Forward Trust. </w:t>
      </w:r>
    </w:p>
    <w:p w:rsidR="001F5618" w:rsidRDefault="002D6676">
      <w:pPr>
        <w:numPr>
          <w:ilvl w:val="0"/>
          <w:numId w:val="6"/>
        </w:numPr>
        <w:ind w:right="4" w:hanging="360"/>
      </w:pPr>
      <w:r>
        <w:t>To liaise with the multidisciplinary team, other providers and st</w:t>
      </w:r>
      <w:r>
        <w:t>ake stakeholders,</w:t>
      </w:r>
      <w:r>
        <w:t xml:space="preserve"> and community services </w:t>
      </w:r>
    </w:p>
    <w:p w:rsidR="001F5618" w:rsidRDefault="002D6676">
      <w:pPr>
        <w:numPr>
          <w:ilvl w:val="0"/>
          <w:numId w:val="6"/>
        </w:numPr>
        <w:spacing w:after="223"/>
        <w:ind w:right="4" w:hanging="360"/>
      </w:pPr>
      <w:r>
        <w:t>Effectively manage and maintain information, including confidential information, within statutory duties and in accordance with best practice</w:t>
      </w:r>
      <w:r>
        <w:rPr>
          <w:sz w:val="21"/>
        </w:rPr>
        <w:t xml:space="preserve"> </w:t>
      </w:r>
    </w:p>
    <w:p w:rsidR="001F5618" w:rsidRDefault="002D6676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0"/>
      </w:pPr>
      <w:r>
        <w:rPr>
          <w:sz w:val="32"/>
        </w:rPr>
        <w:t xml:space="preserve">Role Criteria  </w:t>
      </w:r>
    </w:p>
    <w:p w:rsidR="001F5618" w:rsidRDefault="002D6676">
      <w:pPr>
        <w:spacing w:after="0" w:line="259" w:lineRule="auto"/>
        <w:ind w:left="0" w:right="11" w:firstLine="0"/>
        <w:jc w:val="left"/>
      </w:pPr>
      <w:r>
        <w:t xml:space="preserve"> </w:t>
      </w:r>
    </w:p>
    <w:tbl>
      <w:tblPr>
        <w:tblStyle w:val="TableGrid"/>
        <w:tblpPr w:vertAnchor="text" w:tblpX="5859" w:tblpY="-54"/>
        <w:tblOverlap w:val="never"/>
        <w:tblW w:w="3164" w:type="dxa"/>
        <w:tblInd w:w="0" w:type="dxa"/>
        <w:tblCellMar>
          <w:top w:w="15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2320"/>
      </w:tblGrid>
      <w:tr w:rsidR="001F5618">
        <w:trPr>
          <w:trHeight w:val="288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Criteria Requirement </w:t>
            </w:r>
          </w:p>
        </w:tc>
      </w:tr>
      <w:tr w:rsidR="001F5618">
        <w:trPr>
          <w:trHeight w:val="29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E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Essential Criteria </w:t>
            </w:r>
          </w:p>
        </w:tc>
      </w:tr>
      <w:tr w:rsidR="001F5618">
        <w:trPr>
          <w:trHeight w:val="29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D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Desirable Criteria </w:t>
            </w:r>
          </w:p>
        </w:tc>
      </w:tr>
      <w:tr w:rsidR="001F5618">
        <w:trPr>
          <w:trHeight w:val="288"/>
        </w:trPr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Criteria Measure </w:t>
            </w:r>
          </w:p>
        </w:tc>
      </w:tr>
      <w:tr w:rsidR="001F5618">
        <w:trPr>
          <w:trHeight w:val="29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Application </w:t>
            </w:r>
          </w:p>
        </w:tc>
      </w:tr>
      <w:tr w:rsidR="001F5618">
        <w:trPr>
          <w:trHeight w:val="2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 I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Interview </w:t>
            </w:r>
          </w:p>
        </w:tc>
      </w:tr>
      <w:tr w:rsidR="001F5618">
        <w:trPr>
          <w:trHeight w:val="29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T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Test </w:t>
            </w:r>
          </w:p>
        </w:tc>
      </w:tr>
    </w:tbl>
    <w:p w:rsidR="001F5618" w:rsidRDefault="002D6676">
      <w:pPr>
        <w:spacing w:line="239" w:lineRule="auto"/>
        <w:ind w:left="0" w:right="11" w:firstLine="0"/>
        <w:jc w:val="left"/>
      </w:pPr>
      <w:r>
        <w:rPr>
          <w:b/>
          <w:sz w:val="21"/>
        </w:rPr>
        <w:t xml:space="preserve">Below is a list of the criteria required to apply for this role; please address each of these points in your application.  </w:t>
      </w:r>
    </w:p>
    <w:p w:rsidR="001F5618" w:rsidRDefault="002D6676">
      <w:pPr>
        <w:spacing w:after="0" w:line="259" w:lineRule="auto"/>
        <w:ind w:left="0" w:right="11" w:firstLine="0"/>
        <w:jc w:val="left"/>
      </w:pPr>
      <w:r>
        <w:rPr>
          <w:b/>
          <w:sz w:val="21"/>
        </w:rPr>
        <w:t xml:space="preserve"> </w:t>
      </w:r>
    </w:p>
    <w:p w:rsidR="001F5618" w:rsidRDefault="002D6676">
      <w:pPr>
        <w:spacing w:after="7" w:line="259" w:lineRule="auto"/>
        <w:ind w:left="0" w:right="11" w:firstLine="0"/>
        <w:jc w:val="left"/>
      </w:pPr>
      <w:r>
        <w:rPr>
          <w:b/>
        </w:rPr>
        <w:t xml:space="preserve"> </w:t>
      </w:r>
    </w:p>
    <w:p w:rsidR="001F5618" w:rsidRDefault="002D6676">
      <w:pPr>
        <w:spacing w:after="2" w:line="259" w:lineRule="auto"/>
        <w:ind w:left="0" w:right="11" w:firstLine="0"/>
        <w:jc w:val="left"/>
      </w:pPr>
      <w:r>
        <w:rPr>
          <w:b/>
        </w:rPr>
        <w:t xml:space="preserve"> </w:t>
      </w:r>
    </w:p>
    <w:p w:rsidR="001F5618" w:rsidRDefault="002D6676">
      <w:pPr>
        <w:spacing w:after="7" w:line="259" w:lineRule="auto"/>
        <w:ind w:left="0" w:right="11" w:firstLine="0"/>
        <w:jc w:val="left"/>
      </w:pPr>
      <w:r>
        <w:rPr>
          <w:b/>
        </w:rPr>
        <w:t xml:space="preserve"> </w:t>
      </w:r>
    </w:p>
    <w:p w:rsidR="001F5618" w:rsidRDefault="002D6676">
      <w:pPr>
        <w:spacing w:after="0" w:line="259" w:lineRule="auto"/>
        <w:ind w:left="0" w:right="1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7" w:type="dxa"/>
        <w:tblInd w:w="6" w:type="dxa"/>
        <w:tblCellMar>
          <w:top w:w="9" w:type="dxa"/>
          <w:left w:w="109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6468"/>
        <w:gridCol w:w="1310"/>
        <w:gridCol w:w="1289"/>
      </w:tblGrid>
      <w:tr w:rsidR="001F5618">
        <w:trPr>
          <w:trHeight w:val="408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1"/>
              </w:rPr>
              <w:t xml:space="preserve">Knowledge, Skills and Experience  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F2A44"/>
          </w:tcPr>
          <w:p w:rsidR="001F5618" w:rsidRDefault="001F561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1F5618">
            <w:pPr>
              <w:spacing w:after="160" w:line="259" w:lineRule="auto"/>
              <w:ind w:left="0" w:firstLine="0"/>
              <w:jc w:val="left"/>
            </w:pPr>
          </w:p>
        </w:tc>
      </w:tr>
      <w:tr w:rsidR="001F5618">
        <w:trPr>
          <w:trHeight w:val="286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 Minimum of 2 years post-registration experience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2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Evidence of personal development since entering the NMC register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28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>Previous experience in</w:t>
            </w:r>
            <w:r>
              <w:t xml:space="preserve"> managing a staff team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29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Knowledge of the safe storage and administration of medication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29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Knowledge and ability to comply with the NMC Code of Conduct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>Ability to assess, plan, implement,</w:t>
            </w:r>
            <w:r>
              <w:t xml:space="preserve"> and evaluate patient care and act accordingly if concerns present themselves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Ability and knowledge to carry out risk assessments and management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t xml:space="preserve">A/I </w:t>
            </w:r>
          </w:p>
        </w:tc>
      </w:tr>
      <w:tr w:rsidR="001F5618">
        <w:trPr>
          <w:trHeight w:val="29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Strong IT Skills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28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Excellent written and verbal communication skills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2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Ability to maintain accurate patient records within the standards required locally, the Forward Trust and NMC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30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Demonstrate the ability to work under pressure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4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Understand the different roles within a multidisciplinary team and be able to work effectively within this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>Ability to provide and accept feedback, support,</w:t>
            </w:r>
            <w:r>
              <w:t xml:space="preserve"> and clinical supervision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right="5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</w:pPr>
            <w:r>
              <w:t xml:space="preserve">Knowledge and an awareness of health issues related to Substance Misuse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33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Flexible approach to work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29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Ability to travel to other sites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Committed </w:t>
            </w:r>
            <w:r>
              <w:t xml:space="preserve">to </w:t>
            </w:r>
            <w:r>
              <w:t xml:space="preserve">continuous professional development and the revalidation process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30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Dignified and holistic approach to care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Leadership skills (motivating, use of initiative, change management)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306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Ability to lead and facilitate decision-making processes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30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Organisational skills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35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Experience </w:t>
            </w:r>
            <w:r>
              <w:t xml:space="preserve">working within a secure environment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29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Experience working within a recovery model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1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Ability to provide and coordinate clinical and management supervision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29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Audit process and an ability to use audit tools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46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Working knowledge of </w:t>
            </w:r>
            <w:proofErr w:type="spellStart"/>
            <w:r>
              <w:t>SystmOne</w:t>
            </w:r>
            <w:proofErr w:type="spellEnd"/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47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Critical Analysis and Research Skills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46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>Familiarity with Blood-Borne</w:t>
            </w:r>
            <w:r>
              <w:t xml:space="preserve"> Viruses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197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05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</w:tbl>
    <w:p w:rsidR="001F5618" w:rsidRDefault="002D6676">
      <w:pPr>
        <w:spacing w:after="0" w:line="259" w:lineRule="auto"/>
        <w:ind w:left="0" w:right="558" w:firstLine="0"/>
        <w:jc w:val="righ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1F2A44"/>
          <w:sz w:val="21"/>
        </w:rPr>
        <w:t xml:space="preserve"> </w:t>
      </w:r>
      <w:r>
        <w:rPr>
          <w:rFonts w:ascii="Calibri" w:eastAsia="Calibri" w:hAnsi="Calibri" w:cs="Calibri"/>
          <w:color w:val="1F2A44"/>
          <w:sz w:val="21"/>
        </w:rPr>
        <w:tab/>
        <w:t xml:space="preserve"> </w:t>
      </w:r>
    </w:p>
    <w:tbl>
      <w:tblPr>
        <w:tblStyle w:val="TableGrid"/>
        <w:tblW w:w="9067" w:type="dxa"/>
        <w:tblInd w:w="6" w:type="dxa"/>
        <w:tblCellMar>
          <w:top w:w="6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67"/>
        <w:gridCol w:w="1311"/>
        <w:gridCol w:w="1289"/>
      </w:tblGrid>
      <w:tr w:rsidR="001F5618">
        <w:trPr>
          <w:trHeight w:val="439"/>
        </w:trPr>
        <w:tc>
          <w:tcPr>
            <w:tcW w:w="6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Personal Attributes 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57" w:firstLine="0"/>
              <w:jc w:val="center"/>
            </w:pPr>
            <w:r>
              <w:rPr>
                <w:color w:val="1F2A44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68" w:firstLine="0"/>
              <w:jc w:val="center"/>
            </w:pPr>
            <w:r>
              <w:rPr>
                <w:color w:val="1F2A44"/>
              </w:rPr>
              <w:t xml:space="preserve"> </w:t>
            </w:r>
          </w:p>
        </w:tc>
      </w:tr>
      <w:tr w:rsidR="001F5618">
        <w:trPr>
          <w:trHeight w:val="421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Proactivity</w:t>
            </w:r>
            <w:r>
              <w:rPr>
                <w:color w:val="1F2A44"/>
              </w:rPr>
              <w:t xml:space="preserve"> – Quick thinking with a high level</w:t>
            </w:r>
            <w:r>
              <w:rPr>
                <w:color w:val="1F2A44"/>
              </w:rPr>
              <w:t xml:space="preserve"> </w:t>
            </w:r>
            <w:r>
              <w:rPr>
                <w:color w:val="1F2A44"/>
              </w:rPr>
              <w:t xml:space="preserve">of initiative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8" w:firstLine="0"/>
              <w:jc w:val="center"/>
            </w:pPr>
            <w:r>
              <w:rPr>
                <w:color w:val="1F2A44"/>
              </w:rPr>
              <w:t xml:space="preserve">I </w:t>
            </w:r>
          </w:p>
        </w:tc>
      </w:tr>
      <w:tr w:rsidR="001F5618">
        <w:trPr>
          <w:trHeight w:val="566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Resilience</w:t>
            </w:r>
            <w:r>
              <w:rPr>
                <w:color w:val="1F2A44"/>
              </w:rPr>
              <w:t xml:space="preserve"> – </w:t>
            </w:r>
            <w:r>
              <w:rPr>
                <w:color w:val="1F2A44"/>
              </w:rPr>
              <w:t xml:space="preserve">Solves problems, takes learning on board from mistakes to aid personal and professional growth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8" w:firstLine="0"/>
              <w:jc w:val="center"/>
            </w:pPr>
            <w:r>
              <w:rPr>
                <w:color w:val="1F2A44"/>
              </w:rPr>
              <w:t xml:space="preserve">I </w:t>
            </w:r>
          </w:p>
        </w:tc>
      </w:tr>
      <w:tr w:rsidR="001F5618">
        <w:trPr>
          <w:trHeight w:val="41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Adaptability</w:t>
            </w:r>
            <w:r>
              <w:rPr>
                <w:color w:val="1F2A44"/>
              </w:rPr>
              <w:t xml:space="preserve"> – Can work in fast-paced,</w:t>
            </w:r>
            <w:r>
              <w:rPr>
                <w:color w:val="1F2A44"/>
              </w:rPr>
              <w:t xml:space="preserve"> changing environments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8" w:firstLine="0"/>
              <w:jc w:val="center"/>
            </w:pPr>
            <w:r>
              <w:rPr>
                <w:color w:val="1F2A44"/>
              </w:rPr>
              <w:t xml:space="preserve">I </w:t>
            </w:r>
          </w:p>
        </w:tc>
      </w:tr>
      <w:tr w:rsidR="001F5618">
        <w:trPr>
          <w:trHeight w:val="56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Confidence</w:t>
            </w:r>
            <w:r>
              <w:rPr>
                <w:color w:val="1F2A44"/>
              </w:rPr>
              <w:t xml:space="preserve"> – </w:t>
            </w:r>
            <w:r>
              <w:rPr>
                <w:color w:val="1F2A44"/>
              </w:rPr>
              <w:t>Has confidence in own abilities, has good eye contact,</w:t>
            </w:r>
            <w:r>
              <w:rPr>
                <w:color w:val="1F2A44"/>
              </w:rPr>
              <w:t xml:space="preserve"> and is </w:t>
            </w:r>
            <w:r>
              <w:rPr>
                <w:color w:val="1F2A44"/>
              </w:rPr>
              <w:t xml:space="preserve">able to communicate clearly and concisely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8" w:firstLine="0"/>
              <w:jc w:val="center"/>
            </w:pPr>
            <w:r>
              <w:rPr>
                <w:color w:val="1F2A44"/>
              </w:rPr>
              <w:t xml:space="preserve">I </w:t>
            </w:r>
          </w:p>
        </w:tc>
      </w:tr>
      <w:tr w:rsidR="001F5618">
        <w:trPr>
          <w:trHeight w:val="56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Team Work</w:t>
            </w:r>
            <w:r>
              <w:rPr>
                <w:color w:val="1F2A44"/>
              </w:rPr>
              <w:t xml:space="preserve"> – Works in harmony with colleagues to deliver results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3" w:firstLine="0"/>
              <w:jc w:val="center"/>
            </w:pPr>
            <w:r>
              <w:rPr>
                <w:color w:val="1F2A44"/>
              </w:rPr>
              <w:t xml:space="preserve">A/I </w:t>
            </w:r>
          </w:p>
        </w:tc>
      </w:tr>
      <w:tr w:rsidR="001F5618">
        <w:trPr>
          <w:trHeight w:val="570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2A44"/>
              </w:rPr>
              <w:t>Open to Feedback</w:t>
            </w:r>
            <w:r>
              <w:rPr>
                <w:color w:val="1F2A44"/>
              </w:rPr>
              <w:t xml:space="preserve"> - </w:t>
            </w:r>
            <w:r>
              <w:rPr>
                <w:color w:val="1F2A44"/>
              </w:rPr>
              <w:t>Open to constructive feedback in order to further develop</w:t>
            </w:r>
            <w:r>
              <w:rPr>
                <w:b/>
                <w:color w:val="1F2A4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8" w:firstLine="0"/>
              <w:jc w:val="center"/>
            </w:pPr>
            <w:r>
              <w:rPr>
                <w:color w:val="1F2A44"/>
              </w:rPr>
              <w:t xml:space="preserve">I </w:t>
            </w:r>
          </w:p>
        </w:tc>
      </w:tr>
    </w:tbl>
    <w:p w:rsidR="001F5618" w:rsidRDefault="002D6676">
      <w:pPr>
        <w:spacing w:after="35" w:line="259" w:lineRule="auto"/>
        <w:ind w:left="115" w:firstLine="0"/>
        <w:jc w:val="left"/>
      </w:pPr>
      <w:r>
        <w:rPr>
          <w:b/>
          <w:color w:val="1F2A44"/>
          <w:sz w:val="21"/>
        </w:rPr>
        <w:t xml:space="preserve"> </w:t>
      </w:r>
      <w:r>
        <w:rPr>
          <w:b/>
          <w:color w:val="1F2A44"/>
          <w:sz w:val="21"/>
        </w:rPr>
        <w:tab/>
      </w:r>
      <w:r>
        <w:rPr>
          <w:color w:val="1F2A44"/>
          <w:sz w:val="21"/>
        </w:rPr>
        <w:t xml:space="preserve"> </w:t>
      </w:r>
      <w:r>
        <w:rPr>
          <w:color w:val="1F2A44"/>
          <w:sz w:val="21"/>
        </w:rPr>
        <w:tab/>
        <w:t xml:space="preserve"> </w:t>
      </w:r>
    </w:p>
    <w:tbl>
      <w:tblPr>
        <w:tblStyle w:val="TableGrid"/>
        <w:tblW w:w="9067" w:type="dxa"/>
        <w:tblInd w:w="6" w:type="dxa"/>
        <w:tblCellMar>
          <w:top w:w="11" w:type="dxa"/>
          <w:left w:w="109" w:type="dxa"/>
          <w:bottom w:w="0" w:type="dxa"/>
          <w:right w:w="414" w:type="dxa"/>
        </w:tblCellMar>
        <w:tblLook w:val="04A0" w:firstRow="1" w:lastRow="0" w:firstColumn="1" w:lastColumn="0" w:noHBand="0" w:noVBand="1"/>
      </w:tblPr>
      <w:tblGrid>
        <w:gridCol w:w="6467"/>
        <w:gridCol w:w="1311"/>
        <w:gridCol w:w="1289"/>
      </w:tblGrid>
      <w:tr w:rsidR="001F5618">
        <w:trPr>
          <w:trHeight w:val="374"/>
        </w:trPr>
        <w:tc>
          <w:tcPr>
            <w:tcW w:w="6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Qualification 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384" w:firstLine="0"/>
              <w:jc w:val="center"/>
            </w:pPr>
            <w:r>
              <w:rPr>
                <w:b/>
                <w:color w:val="FFFFFF"/>
                <w:sz w:val="32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2A44"/>
          </w:tcPr>
          <w:p w:rsidR="001F5618" w:rsidRDefault="002D6676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1F5618">
        <w:trPr>
          <w:trHeight w:val="712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</w:pPr>
            <w:r>
              <w:lastRenderedPageBreak/>
              <w:t xml:space="preserve">Degree of Advanced Diploma in Nursing – RGN, RMN or RNLD, with current UK Registration  </w:t>
            </w:r>
            <w:r>
              <w:rPr>
                <w:b/>
                <w:color w:val="1F2A4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302" w:firstLine="0"/>
              <w:jc w:val="center"/>
            </w:pPr>
            <w:r>
              <w:rPr>
                <w:color w:val="1F2A44"/>
              </w:rPr>
              <w:t xml:space="preserve">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303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57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Diploma/Degree in Substance Misuse or willing to undertake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94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303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  <w:tr w:rsidR="001F5618">
        <w:trPr>
          <w:trHeight w:val="385"/>
        </w:trPr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0" w:firstLine="0"/>
              <w:jc w:val="left"/>
            </w:pPr>
            <w:r>
              <w:t xml:space="preserve">Health and Social Care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294" w:firstLine="0"/>
              <w:jc w:val="center"/>
            </w:pPr>
            <w:r>
              <w:rPr>
                <w:color w:val="1F2A44"/>
              </w:rPr>
              <w:t xml:space="preserve">D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18" w:rsidRDefault="002D6676">
            <w:pPr>
              <w:spacing w:after="0" w:line="259" w:lineRule="auto"/>
              <w:ind w:left="303" w:firstLine="0"/>
              <w:jc w:val="center"/>
            </w:pPr>
            <w:r>
              <w:rPr>
                <w:color w:val="1F2A44"/>
              </w:rPr>
              <w:t xml:space="preserve">A </w:t>
            </w:r>
          </w:p>
        </w:tc>
      </w:tr>
    </w:tbl>
    <w:p w:rsidR="001F5618" w:rsidRDefault="002D6676">
      <w:pPr>
        <w:spacing w:after="0" w:line="259" w:lineRule="auto"/>
        <w:ind w:left="0" w:firstLine="0"/>
        <w:jc w:val="left"/>
      </w:pPr>
      <w:r>
        <w:t xml:space="preserve"> </w:t>
      </w:r>
    </w:p>
    <w:sectPr w:rsidR="001F5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1711" w:right="1431" w:bottom="1579" w:left="1441" w:header="567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6676">
      <w:pPr>
        <w:spacing w:after="0" w:line="240" w:lineRule="auto"/>
      </w:pPr>
      <w:r>
        <w:separator/>
      </w:r>
    </w:p>
  </w:endnote>
  <w:endnote w:type="continuationSeparator" w:id="0">
    <w:p w:rsidR="00000000" w:rsidRDefault="002D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V1.2019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V1.2019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V1.2019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6676">
      <w:pPr>
        <w:spacing w:after="0" w:line="240" w:lineRule="auto"/>
      </w:pPr>
      <w:r>
        <w:separator/>
      </w:r>
    </w:p>
  </w:footnote>
  <w:footnote w:type="continuationSeparator" w:id="0">
    <w:p w:rsidR="00000000" w:rsidRDefault="002D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right="-4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4407535</wp:posOffset>
          </wp:positionH>
          <wp:positionV relativeFrom="page">
            <wp:posOffset>360045</wp:posOffset>
          </wp:positionV>
          <wp:extent cx="2238375" cy="5524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right="-45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4407535</wp:posOffset>
          </wp:positionH>
          <wp:positionV relativeFrom="page">
            <wp:posOffset>360045</wp:posOffset>
          </wp:positionV>
          <wp:extent cx="2238375" cy="5524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18" w:rsidRDefault="002D6676">
    <w:pPr>
      <w:spacing w:after="0" w:line="259" w:lineRule="auto"/>
      <w:ind w:left="0" w:right="-45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4407535</wp:posOffset>
          </wp:positionH>
          <wp:positionV relativeFrom="page">
            <wp:posOffset>360045</wp:posOffset>
          </wp:positionV>
          <wp:extent cx="2238375" cy="5524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  <w:p w:rsidR="001F5618" w:rsidRDefault="002D66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752E3"/>
    <w:multiLevelType w:val="hybridMultilevel"/>
    <w:tmpl w:val="44F4C9F8"/>
    <w:lvl w:ilvl="0" w:tplc="CE0C502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A91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EE8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0237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0E8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21C5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AE8C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C215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C3C8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D26E0"/>
    <w:multiLevelType w:val="hybridMultilevel"/>
    <w:tmpl w:val="4ED469F6"/>
    <w:lvl w:ilvl="0" w:tplc="600C03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565864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68384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08F4C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24EE2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AA9D6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4538E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4055BC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AB036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0F4E7A"/>
    <w:multiLevelType w:val="hybridMultilevel"/>
    <w:tmpl w:val="E132B894"/>
    <w:lvl w:ilvl="0" w:tplc="9CAAAC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2B44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870D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CFA5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C6E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647F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207F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EA87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E1E2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6B16B1"/>
    <w:multiLevelType w:val="hybridMultilevel"/>
    <w:tmpl w:val="844E103E"/>
    <w:lvl w:ilvl="0" w:tplc="8AF0AEE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8FE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222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00CC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621E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6B4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464E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CEE1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CE27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72E20"/>
    <w:multiLevelType w:val="hybridMultilevel"/>
    <w:tmpl w:val="5C10372A"/>
    <w:lvl w:ilvl="0" w:tplc="BBDA39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5AC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0525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C0E0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229E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D092D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169F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0A0C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E41E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882E94"/>
    <w:multiLevelType w:val="hybridMultilevel"/>
    <w:tmpl w:val="41748D50"/>
    <w:lvl w:ilvl="0" w:tplc="B08808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493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2F0C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84D4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94C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6E41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EC22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EB7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CAA5C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18"/>
    <w:rsid w:val="001F5618"/>
    <w:rsid w:val="002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3BD3"/>
  <w15:docId w15:val="{5389326B-40BE-469D-877A-F9D3B0CC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7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2A44"/>
      <w:spacing w:after="0"/>
      <w:ind w:left="115"/>
      <w:outlineLvl w:val="0"/>
    </w:pPr>
    <w:rPr>
      <w:rFonts w:ascii="Arial" w:eastAsia="Arial" w:hAnsi="Arial" w:cs="Arial"/>
      <w:b/>
      <w:color w:val="FFFFF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1F2A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1F2A44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7341</Characters>
  <Application>Microsoft Office Word</Application>
  <DocSecurity>0</DocSecurity>
  <Lines>282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cp:lastModifiedBy>Maria Ramahlosi</cp:lastModifiedBy>
  <cp:revision>2</cp:revision>
  <dcterms:created xsi:type="dcterms:W3CDTF">2025-07-24T14:38:00Z</dcterms:created>
  <dcterms:modified xsi:type="dcterms:W3CDTF">2025-07-24T14:38:00Z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8dc4da37-e50d-4d09-bf38-83afdd945487</vt:lpwstr>
  </property>
</Properties>
</file>