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BD14" w14:textId="77777777" w:rsidR="00317D43" w:rsidRDefault="00317D43" w:rsidP="00317D43">
      <w:pPr>
        <w:rPr>
          <w:rFonts w:ascii="Segoe UI Emoji" w:hAnsi="Segoe UI Emoji" w:cs="Segoe UI Emoji"/>
          <w:b/>
          <w:bCs/>
        </w:rPr>
      </w:pPr>
    </w:p>
    <w:p w14:paraId="60C36621" w14:textId="77777777" w:rsidR="00317D43" w:rsidRPr="00643079" w:rsidRDefault="00317D43" w:rsidP="00317D43">
      <w:pPr>
        <w:keepNext/>
        <w:keepLines/>
        <w:spacing w:after="0" w:line="240" w:lineRule="auto"/>
        <w:ind w:right="397"/>
        <w:outlineLvl w:val="0"/>
        <w:rPr>
          <w:rFonts w:eastAsiaTheme="majorEastAsia" w:cstheme="minorHAnsi"/>
          <w:b/>
          <w:sz w:val="24"/>
          <w:szCs w:val="24"/>
          <w:lang w:eastAsia="en-GB"/>
        </w:rPr>
      </w:pPr>
      <w:r w:rsidRPr="00643079">
        <w:rPr>
          <w:rFonts w:eastAsiaTheme="majorEastAsia" w:cstheme="minorHAnsi"/>
          <w:b/>
          <w:color w:val="1F2A44"/>
          <w:sz w:val="24"/>
          <w:szCs w:val="24"/>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559"/>
        <w:gridCol w:w="2693"/>
      </w:tblGrid>
      <w:tr w:rsidR="00317D43" w:rsidRPr="00643079" w14:paraId="6800E4B9" w14:textId="77777777" w:rsidTr="004E5D9C">
        <w:tc>
          <w:tcPr>
            <w:tcW w:w="1838" w:type="dxa"/>
          </w:tcPr>
          <w:p w14:paraId="4331F4E0" w14:textId="77777777" w:rsidR="00317D43" w:rsidRPr="00643079" w:rsidRDefault="00317D43" w:rsidP="004E5D9C">
            <w:pPr>
              <w:keepNext/>
              <w:keepLines/>
              <w:spacing w:before="120" w:after="120"/>
              <w:ind w:right="33"/>
              <w:outlineLvl w:val="0"/>
              <w:rPr>
                <w:rFonts w:eastAsiaTheme="majorEastAsia" w:cstheme="minorHAnsi"/>
                <w:b/>
                <w:sz w:val="24"/>
                <w:szCs w:val="24"/>
                <w:lang w:eastAsia="en-GB"/>
              </w:rPr>
            </w:pPr>
            <w:r w:rsidRPr="00643079">
              <w:rPr>
                <w:rFonts w:eastAsiaTheme="majorEastAsia" w:cstheme="minorHAnsi"/>
                <w:b/>
                <w:sz w:val="24"/>
                <w:szCs w:val="24"/>
                <w:lang w:eastAsia="en-GB"/>
              </w:rPr>
              <w:t>Position Title</w:t>
            </w:r>
          </w:p>
        </w:tc>
        <w:tc>
          <w:tcPr>
            <w:tcW w:w="2977" w:type="dxa"/>
          </w:tcPr>
          <w:p w14:paraId="6E8C1D00" w14:textId="77777777" w:rsidR="00317D43" w:rsidRPr="00643079" w:rsidRDefault="00317D43" w:rsidP="004E5D9C">
            <w:pPr>
              <w:keepNext/>
              <w:keepLines/>
              <w:spacing w:before="120" w:after="120"/>
              <w:ind w:right="397"/>
              <w:outlineLvl w:val="0"/>
              <w:rPr>
                <w:rFonts w:eastAsiaTheme="majorEastAsia" w:cstheme="minorHAnsi"/>
                <w:sz w:val="24"/>
                <w:szCs w:val="24"/>
                <w:lang w:eastAsia="en-GB"/>
              </w:rPr>
            </w:pPr>
            <w:r>
              <w:rPr>
                <w:rFonts w:eastAsiaTheme="majorEastAsia" w:cstheme="minorHAnsi"/>
                <w:sz w:val="24"/>
                <w:szCs w:val="24"/>
                <w:lang w:eastAsia="en-GB"/>
              </w:rPr>
              <w:t xml:space="preserve">PRSS Housing – Team Leader </w:t>
            </w:r>
            <w:r w:rsidRPr="00643079">
              <w:rPr>
                <w:rFonts w:eastAsiaTheme="majorEastAsia" w:cstheme="minorHAnsi"/>
                <w:sz w:val="24"/>
                <w:szCs w:val="24"/>
                <w:lang w:eastAsia="en-GB"/>
              </w:rPr>
              <w:t xml:space="preserve"> </w:t>
            </w:r>
          </w:p>
        </w:tc>
        <w:tc>
          <w:tcPr>
            <w:tcW w:w="1559" w:type="dxa"/>
          </w:tcPr>
          <w:p w14:paraId="10416ADC" w14:textId="77777777" w:rsidR="00317D43" w:rsidRPr="00643079" w:rsidRDefault="00317D43" w:rsidP="004E5D9C">
            <w:pPr>
              <w:keepNext/>
              <w:keepLines/>
              <w:spacing w:before="120" w:after="120"/>
              <w:ind w:right="34"/>
              <w:outlineLvl w:val="0"/>
              <w:rPr>
                <w:rFonts w:eastAsiaTheme="majorEastAsia" w:cstheme="minorHAnsi"/>
                <w:b/>
                <w:sz w:val="24"/>
                <w:szCs w:val="24"/>
                <w:lang w:eastAsia="en-GB"/>
              </w:rPr>
            </w:pPr>
            <w:r w:rsidRPr="00643079">
              <w:rPr>
                <w:rFonts w:eastAsiaTheme="majorEastAsia" w:cstheme="minorHAnsi"/>
                <w:b/>
                <w:sz w:val="24"/>
                <w:szCs w:val="24"/>
                <w:lang w:eastAsia="en-GB"/>
              </w:rPr>
              <w:t>Reports to</w:t>
            </w:r>
          </w:p>
        </w:tc>
        <w:tc>
          <w:tcPr>
            <w:tcW w:w="2693" w:type="dxa"/>
          </w:tcPr>
          <w:p w14:paraId="38AD3617" w14:textId="77777777" w:rsidR="00317D43" w:rsidRPr="00643079" w:rsidRDefault="00317D43" w:rsidP="004E5D9C">
            <w:pPr>
              <w:keepNext/>
              <w:keepLines/>
              <w:spacing w:before="120" w:after="120"/>
              <w:outlineLvl w:val="0"/>
              <w:rPr>
                <w:rFonts w:eastAsiaTheme="majorEastAsia" w:cstheme="minorHAnsi"/>
                <w:sz w:val="24"/>
                <w:szCs w:val="24"/>
                <w:lang w:eastAsia="en-GB"/>
              </w:rPr>
            </w:pPr>
            <w:r>
              <w:rPr>
                <w:rFonts w:eastAsiaTheme="majorEastAsia" w:cstheme="minorHAnsi"/>
                <w:sz w:val="24"/>
                <w:szCs w:val="24"/>
                <w:lang w:eastAsia="en-GB"/>
              </w:rPr>
              <w:t xml:space="preserve">Housing Development Manager </w:t>
            </w:r>
          </w:p>
        </w:tc>
      </w:tr>
    </w:tbl>
    <w:p w14:paraId="05537B48" w14:textId="77777777" w:rsidR="00317D43" w:rsidRPr="00643079" w:rsidRDefault="00317D43" w:rsidP="00317D43">
      <w:pPr>
        <w:spacing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17D43" w:rsidRPr="00643079" w14:paraId="039BFFC7" w14:textId="77777777" w:rsidTr="004E5D9C">
        <w:tc>
          <w:tcPr>
            <w:tcW w:w="9016" w:type="dxa"/>
            <w:shd w:val="clear" w:color="auto" w:fill="1F2A44"/>
          </w:tcPr>
          <w:p w14:paraId="6EAD261C" w14:textId="77777777" w:rsidR="00317D43" w:rsidRPr="00643079" w:rsidRDefault="00317D43" w:rsidP="004E5D9C">
            <w:pPr>
              <w:rPr>
                <w:rFonts w:cstheme="minorHAnsi"/>
                <w:b/>
                <w:color w:val="FFFFFF" w:themeColor="background1"/>
                <w:sz w:val="24"/>
                <w:szCs w:val="24"/>
              </w:rPr>
            </w:pPr>
            <w:r w:rsidRPr="00643079">
              <w:rPr>
                <w:rFonts w:cstheme="minorHAnsi"/>
                <w:b/>
                <w:color w:val="FFFFFF" w:themeColor="background1"/>
                <w:sz w:val="24"/>
                <w:szCs w:val="24"/>
              </w:rPr>
              <w:t>Introducing Forward Trust</w:t>
            </w:r>
          </w:p>
        </w:tc>
      </w:tr>
    </w:tbl>
    <w:p w14:paraId="69A9DC33" w14:textId="77777777" w:rsidR="00317D43" w:rsidRPr="00317D43" w:rsidRDefault="00375EBF" w:rsidP="00317D43">
      <w:r>
        <w:pict w14:anchorId="56C0106D">
          <v:rect id="_x0000_i1025" style="width:0;height:1.5pt" o:hralign="center" o:hrstd="t" o:hr="t" fillcolor="#a0a0a0" stroked="f"/>
        </w:pict>
      </w:r>
    </w:p>
    <w:p w14:paraId="3471912E" w14:textId="77777777" w:rsidR="00317D43" w:rsidRPr="00317D43" w:rsidRDefault="00317D43" w:rsidP="00317D43">
      <w:pPr>
        <w:rPr>
          <w:b/>
          <w:bCs/>
        </w:rPr>
      </w:pPr>
      <w:r w:rsidRPr="00317D43">
        <w:rPr>
          <w:b/>
          <w:bCs/>
        </w:rPr>
        <w:t>About Forward Trust</w:t>
      </w:r>
    </w:p>
    <w:p w14:paraId="03DB66D5" w14:textId="77777777" w:rsidR="00317D43" w:rsidRPr="00317D43" w:rsidRDefault="00317D43" w:rsidP="00317D43">
      <w:r w:rsidRPr="00317D43">
        <w:t>Forward Trust is a social enterprise supporting people to break cycles of crime, addiction and disadvantage. For over 25 years, we have empowered individuals to build positive, independent lives through housing, employment and community support.</w:t>
      </w:r>
    </w:p>
    <w:p w14:paraId="1304BA0C" w14:textId="77777777" w:rsidR="00317D43" w:rsidRPr="00317D43" w:rsidRDefault="00317D43" w:rsidP="00317D43">
      <w:r w:rsidRPr="00317D43">
        <w:t xml:space="preserve">Our </w:t>
      </w:r>
      <w:r w:rsidRPr="00317D43">
        <w:rPr>
          <w:b/>
          <w:bCs/>
        </w:rPr>
        <w:t>Private Rented Sector Support (PRSS)</w:t>
      </w:r>
      <w:r w:rsidRPr="00317D43">
        <w:t xml:space="preserve"> service enables people with complex needs to access and sustain private rented accommodation, achieving strong tenancy sustainment outcomes and positive feedback from clients and partners.</w:t>
      </w:r>
    </w:p>
    <w:p w14:paraId="37620878" w14:textId="77777777" w:rsidR="00317D43" w:rsidRPr="00317D43" w:rsidRDefault="00375EBF" w:rsidP="00317D43">
      <w:r>
        <w:pict w14:anchorId="2142FE8A">
          <v:rect id="_x0000_i1026" style="width:0;height:1.5pt" o:hralign="center" o:hrstd="t" o:hr="t" fillcolor="#a0a0a0" stroked="f"/>
        </w:pict>
      </w:r>
    </w:p>
    <w:p w14:paraId="46EBC094" w14:textId="77777777" w:rsidR="00317D43" w:rsidRPr="00317D43" w:rsidRDefault="00317D43" w:rsidP="00317D43">
      <w:pPr>
        <w:rPr>
          <w:b/>
          <w:bCs/>
        </w:rPr>
      </w:pPr>
      <w:r w:rsidRPr="00317D43">
        <w:rPr>
          <w:b/>
          <w:bCs/>
        </w:rPr>
        <w:t>Role Purpose</w:t>
      </w:r>
    </w:p>
    <w:p w14:paraId="5D47D790" w14:textId="77777777" w:rsidR="00317D43" w:rsidRPr="00317D43" w:rsidRDefault="00317D43" w:rsidP="00317D43">
      <w:r w:rsidRPr="00317D43">
        <w:t>To lead the delivery of PRSS housing services across London, Kent and Surrey by managing a multi-disciplinary team, developing landlord partnerships, and ensuring high-quality housing outcomes for clients with complex needs.</w:t>
      </w:r>
    </w:p>
    <w:p w14:paraId="28259B70" w14:textId="77777777" w:rsidR="00317D43" w:rsidRPr="00317D43" w:rsidRDefault="00317D43" w:rsidP="00317D43">
      <w:r w:rsidRPr="00317D43">
        <w:t xml:space="preserve">The role combines </w:t>
      </w:r>
      <w:r w:rsidRPr="00317D43">
        <w:rPr>
          <w:b/>
          <w:bCs/>
        </w:rPr>
        <w:t>operational leadership, service development and stakeholder engagement</w:t>
      </w:r>
      <w:r w:rsidRPr="00317D43">
        <w:t>, ensuring targets are met and services are delivered effectively.</w:t>
      </w:r>
    </w:p>
    <w:p w14:paraId="45C8CF49" w14:textId="77777777" w:rsidR="00317D43" w:rsidRPr="00317D43" w:rsidRDefault="00375EBF" w:rsidP="00317D43">
      <w:r>
        <w:pict w14:anchorId="222BBEEA">
          <v:rect id="_x0000_i1027" style="width:0;height:1.5pt" o:hralign="center" o:hrstd="t" o:hr="t" fillcolor="#a0a0a0" stroked="f"/>
        </w:pict>
      </w:r>
    </w:p>
    <w:p w14:paraId="43C4F4D1" w14:textId="77777777" w:rsidR="00317D43" w:rsidRPr="00317D43" w:rsidRDefault="00317D43" w:rsidP="00317D43">
      <w:pPr>
        <w:rPr>
          <w:b/>
          <w:bCs/>
        </w:rPr>
      </w:pPr>
      <w:r w:rsidRPr="00317D43">
        <w:rPr>
          <w:b/>
          <w:bCs/>
        </w:rPr>
        <w:t>Key Responsibilities</w:t>
      </w:r>
    </w:p>
    <w:p w14:paraId="75F0D2D5" w14:textId="77777777" w:rsidR="00317D43" w:rsidRPr="00317D43" w:rsidRDefault="00317D43" w:rsidP="00317D43">
      <w:pPr>
        <w:rPr>
          <w:b/>
          <w:bCs/>
        </w:rPr>
      </w:pPr>
      <w:r w:rsidRPr="00317D43">
        <w:rPr>
          <w:b/>
          <w:bCs/>
        </w:rPr>
        <w:t>1. Service Delivery &amp; Case Management</w:t>
      </w:r>
    </w:p>
    <w:p w14:paraId="32D53E93" w14:textId="77777777" w:rsidR="00317D43" w:rsidRPr="00317D43" w:rsidRDefault="00317D43" w:rsidP="00317D43">
      <w:pPr>
        <w:numPr>
          <w:ilvl w:val="0"/>
          <w:numId w:val="12"/>
        </w:numPr>
      </w:pPr>
      <w:r w:rsidRPr="00317D43">
        <w:t xml:space="preserve">Oversee referral, assessment and allocation processes </w:t>
      </w:r>
    </w:p>
    <w:p w14:paraId="39CE575B" w14:textId="77777777" w:rsidR="00317D43" w:rsidRPr="00317D43" w:rsidRDefault="00317D43" w:rsidP="00317D43">
      <w:pPr>
        <w:numPr>
          <w:ilvl w:val="0"/>
          <w:numId w:val="12"/>
        </w:numPr>
      </w:pPr>
      <w:r w:rsidRPr="00317D43">
        <w:t xml:space="preserve">Ensure delivery of high-quality, person-centred support and tenancy sustainment interventions </w:t>
      </w:r>
    </w:p>
    <w:p w14:paraId="3BFA229D" w14:textId="77777777" w:rsidR="00317D43" w:rsidRPr="00317D43" w:rsidRDefault="00317D43" w:rsidP="00317D43">
      <w:pPr>
        <w:numPr>
          <w:ilvl w:val="0"/>
          <w:numId w:val="12"/>
        </w:numPr>
      </w:pPr>
      <w:r w:rsidRPr="00317D43">
        <w:t xml:space="preserve">Hold a caseload of complex clients and provide cover where required </w:t>
      </w:r>
    </w:p>
    <w:p w14:paraId="060EB1BD" w14:textId="77777777" w:rsidR="00317D43" w:rsidRPr="00317D43" w:rsidRDefault="00317D43" w:rsidP="00317D43">
      <w:pPr>
        <w:numPr>
          <w:ilvl w:val="0"/>
          <w:numId w:val="12"/>
        </w:numPr>
      </w:pPr>
      <w:r w:rsidRPr="00317D43">
        <w:t xml:space="preserve">Contribute to resettlement planning and accommodation pathways </w:t>
      </w:r>
    </w:p>
    <w:p w14:paraId="7CC544D2" w14:textId="77777777" w:rsidR="00317D43" w:rsidRDefault="00317D43" w:rsidP="00317D43">
      <w:pPr>
        <w:numPr>
          <w:ilvl w:val="0"/>
          <w:numId w:val="12"/>
        </w:numPr>
      </w:pPr>
      <w:r w:rsidRPr="00317D43">
        <w:t xml:space="preserve">Ensure all case records meet audit and contractual standards </w:t>
      </w:r>
    </w:p>
    <w:p w14:paraId="730D2D6C" w14:textId="77777777" w:rsidR="00317D43" w:rsidRDefault="00317D43" w:rsidP="00317D43"/>
    <w:p w14:paraId="4EB08DC8" w14:textId="77777777" w:rsidR="008206D9" w:rsidRDefault="008206D9" w:rsidP="00317D43"/>
    <w:p w14:paraId="6D3A374F" w14:textId="77777777" w:rsidR="00317D43" w:rsidRPr="00317D43" w:rsidRDefault="00317D43" w:rsidP="00317D43"/>
    <w:p w14:paraId="36EE3017" w14:textId="77777777" w:rsidR="00317D43" w:rsidRPr="00317D43" w:rsidRDefault="00375EBF" w:rsidP="00317D43">
      <w:r>
        <w:pict w14:anchorId="0347D521">
          <v:rect id="_x0000_i1028" style="width:0;height:1.5pt" o:hralign="center" o:hrstd="t" o:hr="t" fillcolor="#a0a0a0" stroked="f"/>
        </w:pict>
      </w:r>
    </w:p>
    <w:p w14:paraId="6AB7A94F" w14:textId="77777777" w:rsidR="00317D43" w:rsidRPr="00317D43" w:rsidRDefault="00317D43" w:rsidP="00317D43">
      <w:pPr>
        <w:rPr>
          <w:b/>
          <w:bCs/>
        </w:rPr>
      </w:pPr>
      <w:r w:rsidRPr="00317D43">
        <w:rPr>
          <w:b/>
          <w:bCs/>
        </w:rPr>
        <w:lastRenderedPageBreak/>
        <w:t>2. Team Leadership &amp; Management</w:t>
      </w:r>
    </w:p>
    <w:p w14:paraId="22E73C6E" w14:textId="77777777" w:rsidR="00317D43" w:rsidRPr="00317D43" w:rsidRDefault="00317D43" w:rsidP="00317D43">
      <w:pPr>
        <w:numPr>
          <w:ilvl w:val="0"/>
          <w:numId w:val="13"/>
        </w:numPr>
      </w:pPr>
      <w:r w:rsidRPr="00317D43">
        <w:t xml:space="preserve">Provide supervision, coaching and performance management to staff </w:t>
      </w:r>
    </w:p>
    <w:p w14:paraId="1C05FDB0" w14:textId="77777777" w:rsidR="00317D43" w:rsidRPr="00317D43" w:rsidRDefault="00317D43" w:rsidP="00317D43">
      <w:pPr>
        <w:numPr>
          <w:ilvl w:val="0"/>
          <w:numId w:val="13"/>
        </w:numPr>
      </w:pPr>
      <w:r w:rsidRPr="00317D43">
        <w:t xml:space="preserve">Set clear objectives aligned with service and organisational priorities </w:t>
      </w:r>
    </w:p>
    <w:p w14:paraId="2CE2057B" w14:textId="77777777" w:rsidR="00317D43" w:rsidRPr="00317D43" w:rsidRDefault="00317D43" w:rsidP="00317D43">
      <w:pPr>
        <w:numPr>
          <w:ilvl w:val="0"/>
          <w:numId w:val="13"/>
        </w:numPr>
      </w:pPr>
      <w:r w:rsidRPr="00317D43">
        <w:t xml:space="preserve">Identify training needs and support staff development </w:t>
      </w:r>
    </w:p>
    <w:p w14:paraId="75F91087" w14:textId="77777777" w:rsidR="00317D43" w:rsidRPr="00317D43" w:rsidRDefault="00317D43" w:rsidP="00317D43">
      <w:pPr>
        <w:numPr>
          <w:ilvl w:val="0"/>
          <w:numId w:val="13"/>
        </w:numPr>
      </w:pPr>
      <w:r w:rsidRPr="00317D43">
        <w:t xml:space="preserve">Promote a positive, high-performing team culture </w:t>
      </w:r>
    </w:p>
    <w:p w14:paraId="6EFC0ADE" w14:textId="77777777" w:rsidR="00317D43" w:rsidRPr="00317D43" w:rsidRDefault="00317D43" w:rsidP="00317D43">
      <w:pPr>
        <w:numPr>
          <w:ilvl w:val="0"/>
          <w:numId w:val="13"/>
        </w:numPr>
      </w:pPr>
      <w:r w:rsidRPr="00317D43">
        <w:t xml:space="preserve">Address performance issues in line with organisational policies </w:t>
      </w:r>
    </w:p>
    <w:p w14:paraId="5639E25B" w14:textId="77777777" w:rsidR="00317D43" w:rsidRPr="00317D43" w:rsidRDefault="00375EBF" w:rsidP="00317D43">
      <w:r>
        <w:pict w14:anchorId="75C7F65A">
          <v:rect id="_x0000_i1029" style="width:0;height:1.5pt" o:hralign="center" o:hrstd="t" o:hr="t" fillcolor="#a0a0a0" stroked="f"/>
        </w:pict>
      </w:r>
    </w:p>
    <w:p w14:paraId="05AD92B5" w14:textId="77777777" w:rsidR="00317D43" w:rsidRPr="00317D43" w:rsidRDefault="00317D43" w:rsidP="00317D43">
      <w:pPr>
        <w:rPr>
          <w:b/>
          <w:bCs/>
        </w:rPr>
      </w:pPr>
      <w:r w:rsidRPr="00317D43">
        <w:rPr>
          <w:b/>
          <w:bCs/>
        </w:rPr>
        <w:t>3. Partnerships &amp; Stakeholder Engagement</w:t>
      </w:r>
    </w:p>
    <w:p w14:paraId="6EE1CE77" w14:textId="77777777" w:rsidR="00317D43" w:rsidRPr="00317D43" w:rsidRDefault="00317D43" w:rsidP="00317D43">
      <w:pPr>
        <w:numPr>
          <w:ilvl w:val="0"/>
          <w:numId w:val="14"/>
        </w:numPr>
      </w:pPr>
      <w:r w:rsidRPr="00317D43">
        <w:t xml:space="preserve">Build and maintain relationships with landlords, agents, local authorities and criminal justice partners </w:t>
      </w:r>
    </w:p>
    <w:p w14:paraId="67BAAB95" w14:textId="77777777" w:rsidR="00317D43" w:rsidRPr="00317D43" w:rsidRDefault="00317D43" w:rsidP="00317D43">
      <w:pPr>
        <w:numPr>
          <w:ilvl w:val="0"/>
          <w:numId w:val="14"/>
        </w:numPr>
      </w:pPr>
      <w:r w:rsidRPr="00317D43">
        <w:t xml:space="preserve">Represent the service at multi-agency meetings and case reviews </w:t>
      </w:r>
    </w:p>
    <w:p w14:paraId="7F5552CF" w14:textId="77777777" w:rsidR="00317D43" w:rsidRPr="00317D43" w:rsidRDefault="00317D43" w:rsidP="00317D43">
      <w:pPr>
        <w:numPr>
          <w:ilvl w:val="0"/>
          <w:numId w:val="14"/>
        </w:numPr>
      </w:pPr>
      <w:r w:rsidRPr="00317D43">
        <w:t xml:space="preserve">Support the development of service level agreements and partnership working </w:t>
      </w:r>
    </w:p>
    <w:p w14:paraId="0756CDAF" w14:textId="77777777" w:rsidR="00317D43" w:rsidRPr="00317D43" w:rsidRDefault="00317D43" w:rsidP="00317D43">
      <w:pPr>
        <w:numPr>
          <w:ilvl w:val="0"/>
          <w:numId w:val="14"/>
        </w:numPr>
      </w:pPr>
      <w:r w:rsidRPr="00317D43">
        <w:t xml:space="preserve">Facilitate landlord engagement and retention </w:t>
      </w:r>
    </w:p>
    <w:p w14:paraId="281D5711" w14:textId="77777777" w:rsidR="00317D43" w:rsidRPr="00317D43" w:rsidRDefault="00375EBF" w:rsidP="00317D43">
      <w:r>
        <w:pict w14:anchorId="1342D0B6">
          <v:rect id="_x0000_i1030" style="width:0;height:1.5pt" o:hralign="center" o:hrstd="t" o:hr="t" fillcolor="#a0a0a0" stroked="f"/>
        </w:pict>
      </w:r>
    </w:p>
    <w:p w14:paraId="08A1EC43" w14:textId="77777777" w:rsidR="00317D43" w:rsidRPr="00317D43" w:rsidRDefault="00317D43" w:rsidP="00317D43">
      <w:pPr>
        <w:rPr>
          <w:b/>
          <w:bCs/>
        </w:rPr>
      </w:pPr>
      <w:r w:rsidRPr="00317D43">
        <w:rPr>
          <w:b/>
          <w:bCs/>
        </w:rPr>
        <w:t>4. Property Procurement &amp; Standards</w:t>
      </w:r>
    </w:p>
    <w:p w14:paraId="46F18BF3" w14:textId="77777777" w:rsidR="00317D43" w:rsidRPr="00317D43" w:rsidRDefault="00317D43" w:rsidP="00317D43">
      <w:pPr>
        <w:numPr>
          <w:ilvl w:val="0"/>
          <w:numId w:val="15"/>
        </w:numPr>
      </w:pPr>
      <w:r w:rsidRPr="00317D43">
        <w:t xml:space="preserve">Support the sourcing of suitable private rented accommodation </w:t>
      </w:r>
    </w:p>
    <w:p w14:paraId="3B92B94D" w14:textId="77777777" w:rsidR="00317D43" w:rsidRPr="00317D43" w:rsidRDefault="00317D43" w:rsidP="00317D43">
      <w:pPr>
        <w:numPr>
          <w:ilvl w:val="0"/>
          <w:numId w:val="15"/>
        </w:numPr>
      </w:pPr>
      <w:r w:rsidRPr="00317D43">
        <w:t xml:space="preserve">Ensure properties meet legal, regulatory and health &amp; safety requirements </w:t>
      </w:r>
    </w:p>
    <w:p w14:paraId="06DB9884" w14:textId="77777777" w:rsidR="00317D43" w:rsidRPr="00317D43" w:rsidRDefault="00317D43" w:rsidP="00317D43">
      <w:pPr>
        <w:numPr>
          <w:ilvl w:val="0"/>
          <w:numId w:val="15"/>
        </w:numPr>
      </w:pPr>
      <w:r w:rsidRPr="00317D43">
        <w:t xml:space="preserve">Maintain effective relationships with landlords and managing agents </w:t>
      </w:r>
    </w:p>
    <w:p w14:paraId="3176B5C1" w14:textId="77777777" w:rsidR="00317D43" w:rsidRPr="00317D43" w:rsidRDefault="00317D43" w:rsidP="00317D43">
      <w:pPr>
        <w:numPr>
          <w:ilvl w:val="0"/>
          <w:numId w:val="15"/>
        </w:numPr>
      </w:pPr>
      <w:r w:rsidRPr="00317D43">
        <w:t xml:space="preserve">Promote good practice in tenancy management and risk reduction </w:t>
      </w:r>
    </w:p>
    <w:p w14:paraId="322770A0" w14:textId="77777777" w:rsidR="00317D43" w:rsidRPr="00317D43" w:rsidRDefault="00375EBF" w:rsidP="00317D43">
      <w:r>
        <w:pict w14:anchorId="054DA3D2">
          <v:rect id="_x0000_i1031" style="width:0;height:1.5pt" o:hralign="center" o:hrstd="t" o:hr="t" fillcolor="#a0a0a0" stroked="f"/>
        </w:pict>
      </w:r>
    </w:p>
    <w:p w14:paraId="2E1876DA" w14:textId="77777777" w:rsidR="00317D43" w:rsidRPr="00317D43" w:rsidRDefault="00317D43" w:rsidP="00317D43">
      <w:pPr>
        <w:rPr>
          <w:b/>
          <w:bCs/>
        </w:rPr>
      </w:pPr>
      <w:r w:rsidRPr="00317D43">
        <w:rPr>
          <w:b/>
          <w:bCs/>
        </w:rPr>
        <w:t>5. Performance &amp; Contract Management</w:t>
      </w:r>
    </w:p>
    <w:p w14:paraId="7B946308" w14:textId="77777777" w:rsidR="00317D43" w:rsidRPr="00317D43" w:rsidRDefault="00317D43" w:rsidP="00317D43">
      <w:pPr>
        <w:numPr>
          <w:ilvl w:val="0"/>
          <w:numId w:val="16"/>
        </w:numPr>
      </w:pPr>
      <w:r w:rsidRPr="00317D43">
        <w:t xml:space="preserve">Monitor and achieve KPIs, including housing outcomes and tenancy sustainment </w:t>
      </w:r>
    </w:p>
    <w:p w14:paraId="06A821F2" w14:textId="77777777" w:rsidR="00317D43" w:rsidRPr="00317D43" w:rsidRDefault="00317D43" w:rsidP="00317D43">
      <w:pPr>
        <w:numPr>
          <w:ilvl w:val="0"/>
          <w:numId w:val="16"/>
        </w:numPr>
      </w:pPr>
      <w:r w:rsidRPr="00317D43">
        <w:t xml:space="preserve">Ensure accurate data collection, reporting and compliance with contractual requirements </w:t>
      </w:r>
    </w:p>
    <w:p w14:paraId="7B2AF416" w14:textId="77777777" w:rsidR="00317D43" w:rsidRPr="00317D43" w:rsidRDefault="00317D43" w:rsidP="00317D43">
      <w:pPr>
        <w:numPr>
          <w:ilvl w:val="0"/>
          <w:numId w:val="16"/>
        </w:numPr>
      </w:pPr>
      <w:r w:rsidRPr="00317D43">
        <w:t xml:space="preserve">Support contract monitoring, audits and funding reports </w:t>
      </w:r>
    </w:p>
    <w:p w14:paraId="39E2F285" w14:textId="77777777" w:rsidR="00317D43" w:rsidRPr="00317D43" w:rsidRDefault="00317D43" w:rsidP="00317D43">
      <w:pPr>
        <w:numPr>
          <w:ilvl w:val="0"/>
          <w:numId w:val="16"/>
        </w:numPr>
      </w:pPr>
      <w:r w:rsidRPr="00317D43">
        <w:t xml:space="preserve">Manage budgets in line with organisational requirements </w:t>
      </w:r>
    </w:p>
    <w:p w14:paraId="527E9BFA" w14:textId="77777777" w:rsidR="00317D43" w:rsidRPr="00317D43" w:rsidRDefault="00375EBF" w:rsidP="00317D43">
      <w:r>
        <w:pict w14:anchorId="0E9270A1">
          <v:rect id="_x0000_i1032" style="width:0;height:1.5pt" o:hralign="center" o:hrstd="t" o:hr="t" fillcolor="#a0a0a0" stroked="f"/>
        </w:pict>
      </w:r>
    </w:p>
    <w:p w14:paraId="5E32A07B" w14:textId="77777777" w:rsidR="00317D43" w:rsidRPr="00317D43" w:rsidRDefault="00317D43" w:rsidP="00317D43">
      <w:pPr>
        <w:rPr>
          <w:b/>
          <w:bCs/>
        </w:rPr>
      </w:pPr>
      <w:r w:rsidRPr="00317D43">
        <w:rPr>
          <w:b/>
          <w:bCs/>
        </w:rPr>
        <w:t>6. Strategy &amp; Service Development</w:t>
      </w:r>
    </w:p>
    <w:p w14:paraId="574386A5" w14:textId="77777777" w:rsidR="00317D43" w:rsidRPr="00317D43" w:rsidRDefault="00317D43" w:rsidP="00317D43">
      <w:pPr>
        <w:numPr>
          <w:ilvl w:val="0"/>
          <w:numId w:val="17"/>
        </w:numPr>
      </w:pPr>
      <w:r w:rsidRPr="00317D43">
        <w:t xml:space="preserve">Contribute to service development and continuous improvement </w:t>
      </w:r>
    </w:p>
    <w:p w14:paraId="54913A5D" w14:textId="77777777" w:rsidR="00317D43" w:rsidRPr="00317D43" w:rsidRDefault="00317D43" w:rsidP="00317D43">
      <w:pPr>
        <w:numPr>
          <w:ilvl w:val="0"/>
          <w:numId w:val="17"/>
        </w:numPr>
      </w:pPr>
      <w:r w:rsidRPr="00317D43">
        <w:t xml:space="preserve">Keep up to date with housing legislation, welfare reform and sector changes </w:t>
      </w:r>
    </w:p>
    <w:p w14:paraId="6278D421" w14:textId="77777777" w:rsidR="00317D43" w:rsidRPr="00317D43" w:rsidRDefault="00317D43" w:rsidP="00317D43">
      <w:pPr>
        <w:numPr>
          <w:ilvl w:val="0"/>
          <w:numId w:val="17"/>
        </w:numPr>
      </w:pPr>
      <w:r w:rsidRPr="00317D43">
        <w:t xml:space="preserve">Identify risks to housing supply and tenancy sustainment and implement mitigation strategies </w:t>
      </w:r>
    </w:p>
    <w:p w14:paraId="506EE7BB" w14:textId="77777777" w:rsidR="00317D43" w:rsidRPr="00317D43" w:rsidRDefault="00317D43" w:rsidP="00317D43">
      <w:pPr>
        <w:numPr>
          <w:ilvl w:val="0"/>
          <w:numId w:val="17"/>
        </w:numPr>
      </w:pPr>
      <w:r w:rsidRPr="00317D43">
        <w:lastRenderedPageBreak/>
        <w:t xml:space="preserve">Support the growth of landlord networks and housing opportunities </w:t>
      </w:r>
    </w:p>
    <w:p w14:paraId="49BCC06F" w14:textId="77777777" w:rsidR="00317D43" w:rsidRPr="00317D43" w:rsidRDefault="00375EBF" w:rsidP="00317D43">
      <w:r>
        <w:pict w14:anchorId="22F792F4">
          <v:rect id="_x0000_i1033" style="width:0;height:1.5pt" o:hralign="center" o:hrstd="t" o:hr="t" fillcolor="#a0a0a0" stroked="f"/>
        </w:pict>
      </w:r>
    </w:p>
    <w:p w14:paraId="692F3172" w14:textId="77777777" w:rsidR="00317D43" w:rsidRPr="00317D43" w:rsidRDefault="00317D43" w:rsidP="00317D43">
      <w:pPr>
        <w:rPr>
          <w:b/>
          <w:bCs/>
        </w:rPr>
      </w:pPr>
      <w:r w:rsidRPr="00317D43">
        <w:rPr>
          <w:b/>
          <w:bCs/>
        </w:rPr>
        <w:t>7. Quality, Compliance &amp; Safeguarding</w:t>
      </w:r>
    </w:p>
    <w:p w14:paraId="5288DB6C" w14:textId="77777777" w:rsidR="00317D43" w:rsidRPr="00317D43" w:rsidRDefault="00317D43" w:rsidP="00317D43">
      <w:pPr>
        <w:numPr>
          <w:ilvl w:val="0"/>
          <w:numId w:val="18"/>
        </w:numPr>
      </w:pPr>
      <w:r w:rsidRPr="00317D43">
        <w:t xml:space="preserve">Ensure compliance with organisational policies, legal requirements and best practice </w:t>
      </w:r>
    </w:p>
    <w:p w14:paraId="6756A57C" w14:textId="77777777" w:rsidR="00317D43" w:rsidRPr="00317D43" w:rsidRDefault="00317D43" w:rsidP="00317D43">
      <w:pPr>
        <w:numPr>
          <w:ilvl w:val="0"/>
          <w:numId w:val="18"/>
        </w:numPr>
      </w:pPr>
      <w:r w:rsidRPr="00317D43">
        <w:t xml:space="preserve">Monitor service quality through audits and reviews </w:t>
      </w:r>
    </w:p>
    <w:p w14:paraId="02176B6E" w14:textId="77777777" w:rsidR="00317D43" w:rsidRPr="00317D43" w:rsidRDefault="00317D43" w:rsidP="00317D43">
      <w:pPr>
        <w:numPr>
          <w:ilvl w:val="0"/>
          <w:numId w:val="18"/>
        </w:numPr>
      </w:pPr>
      <w:r w:rsidRPr="00317D43">
        <w:t xml:space="preserve">Manage risk effectively, escalating issues where necessary </w:t>
      </w:r>
    </w:p>
    <w:p w14:paraId="57810538" w14:textId="77777777" w:rsidR="00317D43" w:rsidRPr="00317D43" w:rsidRDefault="00317D43" w:rsidP="00317D43">
      <w:pPr>
        <w:numPr>
          <w:ilvl w:val="0"/>
          <w:numId w:val="18"/>
        </w:numPr>
      </w:pPr>
      <w:r w:rsidRPr="00317D43">
        <w:t xml:space="preserve">Maintain high standards of confidentiality and data protection </w:t>
      </w:r>
    </w:p>
    <w:p w14:paraId="0BB22046" w14:textId="77777777" w:rsidR="00317D43" w:rsidRPr="00317D43" w:rsidRDefault="00375EBF" w:rsidP="00317D43">
      <w:r>
        <w:pict w14:anchorId="0ECD528A">
          <v:rect id="_x0000_i1034" style="width:0;height:1.5pt" o:hralign="center" o:hrstd="t" o:hr="t" fillcolor="#a0a0a0" stroked="f"/>
        </w:pict>
      </w:r>
    </w:p>
    <w:p w14:paraId="4B8CC943" w14:textId="77777777" w:rsidR="00317D43" w:rsidRPr="00317D43" w:rsidRDefault="00317D43" w:rsidP="00317D43">
      <w:pPr>
        <w:rPr>
          <w:b/>
          <w:bCs/>
        </w:rPr>
      </w:pPr>
      <w:r w:rsidRPr="00317D43">
        <w:rPr>
          <w:b/>
          <w:bCs/>
        </w:rPr>
        <w:t>8. Administration &amp; Reporting</w:t>
      </w:r>
    </w:p>
    <w:p w14:paraId="7311F324" w14:textId="77777777" w:rsidR="00317D43" w:rsidRPr="00317D43" w:rsidRDefault="00317D43" w:rsidP="00317D43">
      <w:pPr>
        <w:numPr>
          <w:ilvl w:val="0"/>
          <w:numId w:val="19"/>
        </w:numPr>
      </w:pPr>
      <w:r w:rsidRPr="00317D43">
        <w:t xml:space="preserve">Maintain accurate case management and reporting systems </w:t>
      </w:r>
    </w:p>
    <w:p w14:paraId="12A9AA2F" w14:textId="77777777" w:rsidR="00317D43" w:rsidRPr="00317D43" w:rsidRDefault="00317D43" w:rsidP="00317D43">
      <w:pPr>
        <w:numPr>
          <w:ilvl w:val="0"/>
          <w:numId w:val="19"/>
        </w:numPr>
      </w:pPr>
      <w:r w:rsidRPr="00317D43">
        <w:t xml:space="preserve">Produce reports for internal and external stakeholders </w:t>
      </w:r>
    </w:p>
    <w:p w14:paraId="11F29B87" w14:textId="77777777" w:rsidR="00317D43" w:rsidRPr="00317D43" w:rsidRDefault="00317D43" w:rsidP="00317D43">
      <w:pPr>
        <w:numPr>
          <w:ilvl w:val="0"/>
          <w:numId w:val="19"/>
        </w:numPr>
      </w:pPr>
      <w:r w:rsidRPr="00317D43">
        <w:t xml:space="preserve">Ensure team compliance with administrative and performance requirements </w:t>
      </w:r>
    </w:p>
    <w:p w14:paraId="23454457" w14:textId="77777777" w:rsidR="00317D43" w:rsidRPr="00317D43" w:rsidRDefault="00375EBF" w:rsidP="00317D43">
      <w:r>
        <w:pict w14:anchorId="75E43EF0">
          <v:rect id="_x0000_i1035" style="width:0;height:1.5pt" o:hralign="center" o:hrstd="t" o:hr="t" fillcolor="#a0a0a0" stroked="f"/>
        </w:pict>
      </w:r>
    </w:p>
    <w:p w14:paraId="335B7D38" w14:textId="77777777" w:rsidR="00317D43" w:rsidRPr="00317D43" w:rsidRDefault="00317D43" w:rsidP="00317D43">
      <w:pPr>
        <w:rPr>
          <w:b/>
          <w:bCs/>
        </w:rPr>
      </w:pPr>
      <w:r w:rsidRPr="00317D43">
        <w:rPr>
          <w:b/>
          <w:bCs/>
        </w:rPr>
        <w:t>Person Specification</w:t>
      </w:r>
    </w:p>
    <w:p w14:paraId="57DFAF59" w14:textId="77777777" w:rsidR="00317D43" w:rsidRPr="00317D43" w:rsidRDefault="00317D43" w:rsidP="00317D43">
      <w:pPr>
        <w:rPr>
          <w:b/>
          <w:bCs/>
        </w:rPr>
      </w:pPr>
      <w:r w:rsidRPr="00317D43">
        <w:rPr>
          <w:b/>
          <w:bCs/>
        </w:rPr>
        <w:t>Essential</w:t>
      </w:r>
    </w:p>
    <w:p w14:paraId="3B56D9A6" w14:textId="72560FA2" w:rsidR="00317D43" w:rsidRPr="00317D43" w:rsidRDefault="00317D43" w:rsidP="00317D43">
      <w:pPr>
        <w:numPr>
          <w:ilvl w:val="0"/>
          <w:numId w:val="20"/>
        </w:numPr>
      </w:pPr>
      <w:r w:rsidRPr="00317D43">
        <w:t xml:space="preserve">Experience working with individuals with complex needs (e.g. </w:t>
      </w:r>
      <w:r w:rsidR="004C4092">
        <w:t xml:space="preserve">Criminal Justice </w:t>
      </w:r>
      <w:r w:rsidRPr="00317D43">
        <w:t xml:space="preserve">homelessness, offending, substance misuse) </w:t>
      </w:r>
    </w:p>
    <w:p w14:paraId="0DE899DD" w14:textId="7A593B34" w:rsidR="00317D43" w:rsidRPr="00317D43" w:rsidRDefault="00317D43" w:rsidP="00317D43">
      <w:pPr>
        <w:numPr>
          <w:ilvl w:val="0"/>
          <w:numId w:val="20"/>
        </w:numPr>
      </w:pPr>
      <w:r w:rsidRPr="00317D43">
        <w:t xml:space="preserve">Strong understanding of the private rented sector and tenancy sustainment </w:t>
      </w:r>
      <w:r w:rsidR="004C4092">
        <w:t>needs</w:t>
      </w:r>
    </w:p>
    <w:p w14:paraId="2F635D9F" w14:textId="77777777" w:rsidR="00317D43" w:rsidRPr="00317D43" w:rsidRDefault="00317D43" w:rsidP="00317D43">
      <w:pPr>
        <w:numPr>
          <w:ilvl w:val="0"/>
          <w:numId w:val="20"/>
        </w:numPr>
      </w:pPr>
      <w:r w:rsidRPr="00317D43">
        <w:t xml:space="preserve">Experience of staff supervision and performance management </w:t>
      </w:r>
    </w:p>
    <w:p w14:paraId="120B684B" w14:textId="77777777" w:rsidR="00317D43" w:rsidRPr="00317D43" w:rsidRDefault="00317D43" w:rsidP="00317D43">
      <w:pPr>
        <w:numPr>
          <w:ilvl w:val="0"/>
          <w:numId w:val="20"/>
        </w:numPr>
      </w:pPr>
      <w:r w:rsidRPr="00317D43">
        <w:t xml:space="preserve">Proven ability to build and manage partnerships across multiple agencies </w:t>
      </w:r>
    </w:p>
    <w:p w14:paraId="5AACBC51" w14:textId="77777777" w:rsidR="00317D43" w:rsidRPr="00317D43" w:rsidRDefault="00317D43" w:rsidP="00317D43">
      <w:pPr>
        <w:numPr>
          <w:ilvl w:val="0"/>
          <w:numId w:val="20"/>
        </w:numPr>
      </w:pPr>
      <w:r w:rsidRPr="00317D43">
        <w:t xml:space="preserve">Knowledge of welfare benefits, including Universal Credit and housing affordability </w:t>
      </w:r>
    </w:p>
    <w:p w14:paraId="2FC15CAC" w14:textId="77777777" w:rsidR="00317D43" w:rsidRPr="00317D43" w:rsidRDefault="00317D43" w:rsidP="00317D43">
      <w:pPr>
        <w:numPr>
          <w:ilvl w:val="0"/>
          <w:numId w:val="20"/>
        </w:numPr>
      </w:pPr>
      <w:r w:rsidRPr="00317D43">
        <w:t xml:space="preserve">Experience of managing caseloads and delivering against KPIs </w:t>
      </w:r>
    </w:p>
    <w:p w14:paraId="280D05E2" w14:textId="77777777" w:rsidR="00317D43" w:rsidRPr="00317D43" w:rsidRDefault="00317D43" w:rsidP="00317D43">
      <w:pPr>
        <w:numPr>
          <w:ilvl w:val="0"/>
          <w:numId w:val="20"/>
        </w:numPr>
      </w:pPr>
      <w:r w:rsidRPr="00317D43">
        <w:t xml:space="preserve">Strong communication, organisational and IT skills </w:t>
      </w:r>
    </w:p>
    <w:p w14:paraId="16A768F3" w14:textId="77777777" w:rsidR="00317D43" w:rsidRPr="00317D43" w:rsidRDefault="00317D43" w:rsidP="00317D43">
      <w:pPr>
        <w:numPr>
          <w:ilvl w:val="0"/>
          <w:numId w:val="20"/>
        </w:numPr>
      </w:pPr>
      <w:r w:rsidRPr="00317D43">
        <w:t xml:space="preserve">Ability to manage competing priorities and meet deadlines </w:t>
      </w:r>
    </w:p>
    <w:p w14:paraId="2F71EE72" w14:textId="77777777" w:rsidR="00317D43" w:rsidRPr="00317D43" w:rsidRDefault="00375EBF" w:rsidP="00317D43">
      <w:r>
        <w:pict w14:anchorId="504F6FFA">
          <v:rect id="_x0000_i1036" style="width:0;height:1.5pt" o:hralign="center" o:hrstd="t" o:hr="t" fillcolor="#a0a0a0" stroked="f"/>
        </w:pict>
      </w:r>
    </w:p>
    <w:p w14:paraId="40D55FC9" w14:textId="77777777" w:rsidR="00317D43" w:rsidRPr="00317D43" w:rsidRDefault="00317D43" w:rsidP="00317D43">
      <w:pPr>
        <w:rPr>
          <w:b/>
          <w:bCs/>
        </w:rPr>
      </w:pPr>
      <w:r w:rsidRPr="00317D43">
        <w:rPr>
          <w:b/>
          <w:bCs/>
        </w:rPr>
        <w:t>Desirable</w:t>
      </w:r>
    </w:p>
    <w:p w14:paraId="278CD7E4" w14:textId="77777777" w:rsidR="00317D43" w:rsidRPr="00317D43" w:rsidRDefault="00317D43" w:rsidP="00317D43">
      <w:pPr>
        <w:numPr>
          <w:ilvl w:val="0"/>
          <w:numId w:val="21"/>
        </w:numPr>
      </w:pPr>
      <w:r w:rsidRPr="00317D43">
        <w:t xml:space="preserve">Housing qualification (CIH Level 4 or equivalent) or working towards </w:t>
      </w:r>
    </w:p>
    <w:p w14:paraId="61431F11" w14:textId="77777777" w:rsidR="00317D43" w:rsidRPr="00317D43" w:rsidRDefault="00317D43" w:rsidP="00317D43">
      <w:pPr>
        <w:numPr>
          <w:ilvl w:val="0"/>
          <w:numId w:val="21"/>
        </w:numPr>
      </w:pPr>
      <w:r w:rsidRPr="00317D43">
        <w:t xml:space="preserve">Management qualification or working towards </w:t>
      </w:r>
    </w:p>
    <w:p w14:paraId="670BB5D3" w14:textId="77777777" w:rsidR="00317D43" w:rsidRPr="00317D43" w:rsidRDefault="00317D43" w:rsidP="00317D43">
      <w:pPr>
        <w:numPr>
          <w:ilvl w:val="0"/>
          <w:numId w:val="21"/>
        </w:numPr>
      </w:pPr>
      <w:r w:rsidRPr="00317D43">
        <w:t xml:space="preserve">Experience managing services across multiple sites </w:t>
      </w:r>
    </w:p>
    <w:p w14:paraId="474B5A03" w14:textId="77777777" w:rsidR="00317D43" w:rsidRPr="00317D43" w:rsidRDefault="00375EBF" w:rsidP="00317D43">
      <w:r>
        <w:pict w14:anchorId="1287AE27">
          <v:rect id="_x0000_i1037" style="width:0;height:1.5pt" o:hralign="center" o:hrstd="t" o:hr="t" fillcolor="#a0a0a0" stroked="f"/>
        </w:pict>
      </w:r>
    </w:p>
    <w:p w14:paraId="30C8F052" w14:textId="77777777" w:rsidR="00317D43" w:rsidRPr="00317D43" w:rsidRDefault="00317D43" w:rsidP="00317D43">
      <w:pPr>
        <w:rPr>
          <w:b/>
          <w:bCs/>
        </w:rPr>
      </w:pPr>
      <w:r w:rsidRPr="00317D43">
        <w:rPr>
          <w:b/>
          <w:bCs/>
        </w:rPr>
        <w:t>Values &amp; Competencies</w:t>
      </w:r>
    </w:p>
    <w:p w14:paraId="27B83B5A" w14:textId="77777777" w:rsidR="00317D43" w:rsidRPr="00317D43" w:rsidRDefault="00317D43" w:rsidP="00317D43">
      <w:r w:rsidRPr="00317D43">
        <w:lastRenderedPageBreak/>
        <w:t>The postholder will demonstrate commitment to Forward Trust’s values:</w:t>
      </w:r>
    </w:p>
    <w:p w14:paraId="61C9C30F" w14:textId="77777777" w:rsidR="00317D43" w:rsidRPr="00317D43" w:rsidRDefault="00317D43" w:rsidP="00317D43">
      <w:pPr>
        <w:numPr>
          <w:ilvl w:val="0"/>
          <w:numId w:val="22"/>
        </w:numPr>
      </w:pPr>
      <w:r w:rsidRPr="00317D43">
        <w:rPr>
          <w:b/>
          <w:bCs/>
        </w:rPr>
        <w:t>Empowering</w:t>
      </w:r>
      <w:r w:rsidRPr="00317D43">
        <w:t xml:space="preserve"> – promoting independence and self-belief </w:t>
      </w:r>
    </w:p>
    <w:p w14:paraId="144D0EB6" w14:textId="77777777" w:rsidR="00317D43" w:rsidRPr="00317D43" w:rsidRDefault="00317D43" w:rsidP="00317D43">
      <w:pPr>
        <w:numPr>
          <w:ilvl w:val="0"/>
          <w:numId w:val="22"/>
        </w:numPr>
      </w:pPr>
      <w:r w:rsidRPr="00317D43">
        <w:rPr>
          <w:b/>
          <w:bCs/>
        </w:rPr>
        <w:t>Collaborative</w:t>
      </w:r>
      <w:r w:rsidRPr="00317D43">
        <w:t xml:space="preserve"> – working effectively with partners </w:t>
      </w:r>
    </w:p>
    <w:p w14:paraId="6B3A240C" w14:textId="77777777" w:rsidR="00317D43" w:rsidRPr="00317D43" w:rsidRDefault="00317D43" w:rsidP="00317D43">
      <w:pPr>
        <w:numPr>
          <w:ilvl w:val="0"/>
          <w:numId w:val="22"/>
        </w:numPr>
      </w:pPr>
      <w:r w:rsidRPr="00317D43">
        <w:rPr>
          <w:b/>
          <w:bCs/>
        </w:rPr>
        <w:t>Expert</w:t>
      </w:r>
      <w:r w:rsidRPr="00317D43">
        <w:t xml:space="preserve"> – delivering high-quality, evidence-based services </w:t>
      </w:r>
    </w:p>
    <w:p w14:paraId="3085C896" w14:textId="77777777" w:rsidR="00317D43" w:rsidRPr="00317D43" w:rsidRDefault="00317D43" w:rsidP="00317D43">
      <w:pPr>
        <w:numPr>
          <w:ilvl w:val="0"/>
          <w:numId w:val="22"/>
        </w:numPr>
      </w:pPr>
      <w:r w:rsidRPr="00317D43">
        <w:rPr>
          <w:b/>
          <w:bCs/>
        </w:rPr>
        <w:t>Courageous</w:t>
      </w:r>
      <w:r w:rsidRPr="00317D43">
        <w:t xml:space="preserve"> – driving improvement and change </w:t>
      </w:r>
    </w:p>
    <w:p w14:paraId="176CEF72" w14:textId="77777777" w:rsidR="00317D43" w:rsidRDefault="00317D43" w:rsidP="00317D43">
      <w:pPr>
        <w:numPr>
          <w:ilvl w:val="0"/>
          <w:numId w:val="22"/>
        </w:numPr>
      </w:pPr>
      <w:r w:rsidRPr="00317D43">
        <w:rPr>
          <w:b/>
          <w:bCs/>
        </w:rPr>
        <w:t>Innovative</w:t>
      </w:r>
      <w:r w:rsidRPr="00317D43">
        <w:t xml:space="preserve"> – developing new approaches to service delivery</w:t>
      </w:r>
    </w:p>
    <w:p w14:paraId="72F8A3F2" w14:textId="77777777" w:rsidR="00317D43" w:rsidRDefault="00317D43" w:rsidP="00317D43"/>
    <w:p w14:paraId="3E72E183" w14:textId="77777777" w:rsidR="00317D43" w:rsidRDefault="00317D43" w:rsidP="00317D43"/>
    <w:sectPr w:rsidR="00317D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67B7" w14:textId="77777777" w:rsidR="00375EBF" w:rsidRDefault="00375EBF" w:rsidP="00317D43">
      <w:pPr>
        <w:spacing w:after="0" w:line="240" w:lineRule="auto"/>
      </w:pPr>
      <w:r>
        <w:separator/>
      </w:r>
    </w:p>
  </w:endnote>
  <w:endnote w:type="continuationSeparator" w:id="0">
    <w:p w14:paraId="2C6FE8EC" w14:textId="77777777" w:rsidR="00375EBF" w:rsidRDefault="00375EBF" w:rsidP="0031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A04D" w14:textId="77777777" w:rsidR="00375EBF" w:rsidRDefault="00375EBF" w:rsidP="00317D43">
      <w:pPr>
        <w:spacing w:after="0" w:line="240" w:lineRule="auto"/>
      </w:pPr>
      <w:r>
        <w:separator/>
      </w:r>
    </w:p>
  </w:footnote>
  <w:footnote w:type="continuationSeparator" w:id="0">
    <w:p w14:paraId="65109748" w14:textId="77777777" w:rsidR="00375EBF" w:rsidRDefault="00375EBF" w:rsidP="0031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8925" w14:textId="50BCE57A" w:rsidR="00317D43" w:rsidRDefault="00317D43" w:rsidP="00317D43">
    <w:pPr>
      <w:pStyle w:val="Header"/>
      <w:ind w:firstLine="720"/>
    </w:pPr>
    <w:r>
      <w:tab/>
    </w:r>
    <w:r>
      <w:tab/>
    </w:r>
    <w:r>
      <w:rPr>
        <w:noProof/>
        <w:lang w:eastAsia="en-GB"/>
      </w:rPr>
      <w:drawing>
        <wp:inline distT="0" distB="0" distL="0" distR="0" wp14:anchorId="6597F4AA" wp14:editId="11921D5D">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99"/>
    <w:multiLevelType w:val="multilevel"/>
    <w:tmpl w:val="A85C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A6600"/>
    <w:multiLevelType w:val="multilevel"/>
    <w:tmpl w:val="D06A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F6C5E"/>
    <w:multiLevelType w:val="multilevel"/>
    <w:tmpl w:val="285E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13467"/>
    <w:multiLevelType w:val="multilevel"/>
    <w:tmpl w:val="34EA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5E61"/>
    <w:multiLevelType w:val="multilevel"/>
    <w:tmpl w:val="DEB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534B3"/>
    <w:multiLevelType w:val="multilevel"/>
    <w:tmpl w:val="CBC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B5318"/>
    <w:multiLevelType w:val="multilevel"/>
    <w:tmpl w:val="E842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3DF7"/>
    <w:multiLevelType w:val="multilevel"/>
    <w:tmpl w:val="C66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4502F"/>
    <w:multiLevelType w:val="multilevel"/>
    <w:tmpl w:val="E45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8291F"/>
    <w:multiLevelType w:val="multilevel"/>
    <w:tmpl w:val="A696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22E5B"/>
    <w:multiLevelType w:val="multilevel"/>
    <w:tmpl w:val="48A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C1507"/>
    <w:multiLevelType w:val="multilevel"/>
    <w:tmpl w:val="A4E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E15EF"/>
    <w:multiLevelType w:val="multilevel"/>
    <w:tmpl w:val="5B6C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434E1"/>
    <w:multiLevelType w:val="multilevel"/>
    <w:tmpl w:val="C62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241B9"/>
    <w:multiLevelType w:val="multilevel"/>
    <w:tmpl w:val="2BBC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F3683"/>
    <w:multiLevelType w:val="multilevel"/>
    <w:tmpl w:val="1974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87139"/>
    <w:multiLevelType w:val="multilevel"/>
    <w:tmpl w:val="EF9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44323"/>
    <w:multiLevelType w:val="multilevel"/>
    <w:tmpl w:val="D12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E6FC5"/>
    <w:multiLevelType w:val="multilevel"/>
    <w:tmpl w:val="302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61E64"/>
    <w:multiLevelType w:val="multilevel"/>
    <w:tmpl w:val="38B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35E87"/>
    <w:multiLevelType w:val="multilevel"/>
    <w:tmpl w:val="638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E3B2E"/>
    <w:multiLevelType w:val="multilevel"/>
    <w:tmpl w:val="468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977663">
    <w:abstractNumId w:val="8"/>
  </w:num>
  <w:num w:numId="2" w16cid:durableId="2080781817">
    <w:abstractNumId w:val="19"/>
  </w:num>
  <w:num w:numId="3" w16cid:durableId="1637105189">
    <w:abstractNumId w:val="11"/>
  </w:num>
  <w:num w:numId="4" w16cid:durableId="1248808160">
    <w:abstractNumId w:val="10"/>
  </w:num>
  <w:num w:numId="5" w16cid:durableId="1785886897">
    <w:abstractNumId w:val="20"/>
  </w:num>
  <w:num w:numId="6" w16cid:durableId="574123614">
    <w:abstractNumId w:val="13"/>
  </w:num>
  <w:num w:numId="7" w16cid:durableId="351079016">
    <w:abstractNumId w:val="16"/>
  </w:num>
  <w:num w:numId="8" w16cid:durableId="791171828">
    <w:abstractNumId w:val="18"/>
  </w:num>
  <w:num w:numId="9" w16cid:durableId="1116868670">
    <w:abstractNumId w:val="6"/>
  </w:num>
  <w:num w:numId="10" w16cid:durableId="1266184194">
    <w:abstractNumId w:val="7"/>
  </w:num>
  <w:num w:numId="11" w16cid:durableId="1830057621">
    <w:abstractNumId w:val="9"/>
  </w:num>
  <w:num w:numId="12" w16cid:durableId="2067024153">
    <w:abstractNumId w:val="1"/>
  </w:num>
  <w:num w:numId="13" w16cid:durableId="976644574">
    <w:abstractNumId w:val="2"/>
  </w:num>
  <w:num w:numId="14" w16cid:durableId="2005013631">
    <w:abstractNumId w:val="4"/>
  </w:num>
  <w:num w:numId="15" w16cid:durableId="1528256998">
    <w:abstractNumId w:val="21"/>
  </w:num>
  <w:num w:numId="16" w16cid:durableId="1493567950">
    <w:abstractNumId w:val="3"/>
  </w:num>
  <w:num w:numId="17" w16cid:durableId="1774283661">
    <w:abstractNumId w:val="12"/>
  </w:num>
  <w:num w:numId="18" w16cid:durableId="340358597">
    <w:abstractNumId w:val="14"/>
  </w:num>
  <w:num w:numId="19" w16cid:durableId="1853372196">
    <w:abstractNumId w:val="15"/>
  </w:num>
  <w:num w:numId="20" w16cid:durableId="773478606">
    <w:abstractNumId w:val="5"/>
  </w:num>
  <w:num w:numId="21" w16cid:durableId="1959679220">
    <w:abstractNumId w:val="0"/>
  </w:num>
  <w:num w:numId="22" w16cid:durableId="8751960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43"/>
    <w:rsid w:val="000F61E2"/>
    <w:rsid w:val="00160944"/>
    <w:rsid w:val="00317D43"/>
    <w:rsid w:val="00375EBF"/>
    <w:rsid w:val="004C4092"/>
    <w:rsid w:val="005C5917"/>
    <w:rsid w:val="008206D9"/>
    <w:rsid w:val="008C4710"/>
    <w:rsid w:val="00F16C96"/>
    <w:rsid w:val="00FE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5602"/>
  <w15:chartTrackingRefBased/>
  <w15:docId w15:val="{FCCDE166-FAC4-46F6-8F79-105C4233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D43"/>
    <w:rPr>
      <w:rFonts w:eastAsiaTheme="majorEastAsia" w:cstheme="majorBidi"/>
      <w:color w:val="272727" w:themeColor="text1" w:themeTint="D8"/>
    </w:rPr>
  </w:style>
  <w:style w:type="paragraph" w:styleId="Title">
    <w:name w:val="Title"/>
    <w:basedOn w:val="Normal"/>
    <w:next w:val="Normal"/>
    <w:link w:val="TitleChar"/>
    <w:uiPriority w:val="10"/>
    <w:qFormat/>
    <w:rsid w:val="00317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D43"/>
    <w:pPr>
      <w:spacing w:before="160"/>
      <w:jc w:val="center"/>
    </w:pPr>
    <w:rPr>
      <w:i/>
      <w:iCs/>
      <w:color w:val="404040" w:themeColor="text1" w:themeTint="BF"/>
    </w:rPr>
  </w:style>
  <w:style w:type="character" w:customStyle="1" w:styleId="QuoteChar">
    <w:name w:val="Quote Char"/>
    <w:basedOn w:val="DefaultParagraphFont"/>
    <w:link w:val="Quote"/>
    <w:uiPriority w:val="29"/>
    <w:rsid w:val="00317D43"/>
    <w:rPr>
      <w:i/>
      <w:iCs/>
      <w:color w:val="404040" w:themeColor="text1" w:themeTint="BF"/>
    </w:rPr>
  </w:style>
  <w:style w:type="paragraph" w:styleId="ListParagraph">
    <w:name w:val="List Paragraph"/>
    <w:basedOn w:val="Normal"/>
    <w:uiPriority w:val="34"/>
    <w:qFormat/>
    <w:rsid w:val="00317D43"/>
    <w:pPr>
      <w:ind w:left="720"/>
      <w:contextualSpacing/>
    </w:pPr>
  </w:style>
  <w:style w:type="character" w:styleId="IntenseEmphasis">
    <w:name w:val="Intense Emphasis"/>
    <w:basedOn w:val="DefaultParagraphFont"/>
    <w:uiPriority w:val="21"/>
    <w:qFormat/>
    <w:rsid w:val="00317D43"/>
    <w:rPr>
      <w:i/>
      <w:iCs/>
      <w:color w:val="0F4761" w:themeColor="accent1" w:themeShade="BF"/>
    </w:rPr>
  </w:style>
  <w:style w:type="paragraph" w:styleId="IntenseQuote">
    <w:name w:val="Intense Quote"/>
    <w:basedOn w:val="Normal"/>
    <w:next w:val="Normal"/>
    <w:link w:val="IntenseQuoteChar"/>
    <w:uiPriority w:val="30"/>
    <w:qFormat/>
    <w:rsid w:val="00317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D43"/>
    <w:rPr>
      <w:i/>
      <w:iCs/>
      <w:color w:val="0F4761" w:themeColor="accent1" w:themeShade="BF"/>
    </w:rPr>
  </w:style>
  <w:style w:type="character" w:styleId="IntenseReference">
    <w:name w:val="Intense Reference"/>
    <w:basedOn w:val="DefaultParagraphFont"/>
    <w:uiPriority w:val="32"/>
    <w:qFormat/>
    <w:rsid w:val="00317D43"/>
    <w:rPr>
      <w:b/>
      <w:bCs/>
      <w:smallCaps/>
      <w:color w:val="0F4761" w:themeColor="accent1" w:themeShade="BF"/>
      <w:spacing w:val="5"/>
    </w:rPr>
  </w:style>
  <w:style w:type="paragraph" w:styleId="Header">
    <w:name w:val="header"/>
    <w:basedOn w:val="Normal"/>
    <w:link w:val="HeaderChar"/>
    <w:uiPriority w:val="99"/>
    <w:unhideWhenUsed/>
    <w:rsid w:val="00317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D43"/>
  </w:style>
  <w:style w:type="paragraph" w:styleId="Footer">
    <w:name w:val="footer"/>
    <w:basedOn w:val="Normal"/>
    <w:link w:val="FooterChar"/>
    <w:uiPriority w:val="99"/>
    <w:unhideWhenUsed/>
    <w:rsid w:val="00317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D43"/>
  </w:style>
  <w:style w:type="table" w:styleId="TableGrid">
    <w:name w:val="Table Grid"/>
    <w:basedOn w:val="TableNormal"/>
    <w:uiPriority w:val="39"/>
    <w:rsid w:val="00317D4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4081</Characters>
  <Application>Microsoft Office Word</Application>
  <DocSecurity>4</DocSecurity>
  <Lines>83</Lines>
  <Paragraphs>39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 Moore</dc:creator>
  <cp:keywords/>
  <dc:description/>
  <cp:lastModifiedBy>Tara M. Moore</cp:lastModifiedBy>
  <cp:revision>2</cp:revision>
  <dcterms:created xsi:type="dcterms:W3CDTF">2026-05-12T16:48:00Z</dcterms:created>
  <dcterms:modified xsi:type="dcterms:W3CDTF">2026-05-12T16:48:00Z</dcterms:modified>
</cp:coreProperties>
</file>