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0F88AC7E" w:rsidR="00E513CD" w:rsidRPr="00AC48E2" w:rsidRDefault="004C5635"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Health and Wellbeing </w:t>
            </w:r>
            <w:r w:rsidR="008043FD">
              <w:rPr>
                <w:rFonts w:ascii="Arial" w:eastAsiaTheme="majorEastAsia" w:hAnsi="Arial" w:cs="Arial"/>
                <w:b/>
                <w:sz w:val="24"/>
                <w:szCs w:val="24"/>
                <w:lang w:eastAsia="en-GB"/>
              </w:rPr>
              <w:t>Practitioner</w:t>
            </w:r>
            <w:r w:rsidR="006D352C">
              <w:rPr>
                <w:rFonts w:ascii="Arial" w:eastAsiaTheme="majorEastAsia" w:hAnsi="Arial" w:cs="Arial"/>
                <w:b/>
                <w:sz w:val="24"/>
                <w:szCs w:val="24"/>
                <w:lang w:eastAsia="en-GB"/>
              </w:rPr>
              <w:t xml:space="preserve"> (</w:t>
            </w:r>
            <w:r>
              <w:rPr>
                <w:rFonts w:ascii="Arial" w:eastAsiaTheme="majorEastAsia" w:hAnsi="Arial" w:cs="Arial"/>
                <w:b/>
                <w:sz w:val="24"/>
                <w:szCs w:val="24"/>
                <w:lang w:eastAsia="en-GB"/>
              </w:rPr>
              <w:t xml:space="preserve">HMP </w:t>
            </w:r>
            <w:r w:rsidR="00137BE6">
              <w:rPr>
                <w:rFonts w:ascii="Arial" w:eastAsiaTheme="majorEastAsia" w:hAnsi="Arial" w:cs="Arial"/>
                <w:b/>
                <w:sz w:val="24"/>
                <w:szCs w:val="24"/>
                <w:lang w:eastAsia="en-GB"/>
              </w:rPr>
              <w:t>Send</w:t>
            </w:r>
            <w:r w:rsidR="006D352C">
              <w:rPr>
                <w:rFonts w:ascii="Arial" w:eastAsiaTheme="majorEastAsia" w:hAnsi="Arial" w:cs="Arial"/>
                <w:b/>
                <w:sz w:val="24"/>
                <w:szCs w:val="24"/>
                <w:lang w:eastAsia="en-GB"/>
              </w:rPr>
              <w:t>)</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1A3F1F6D"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EE35C8">
              <w:rPr>
                <w:rFonts w:ascii="Arial" w:eastAsiaTheme="majorEastAsia" w:hAnsi="Arial" w:cs="Arial"/>
                <w:b/>
                <w:sz w:val="24"/>
                <w:szCs w:val="24"/>
                <w:lang w:eastAsia="en-GB"/>
              </w:rPr>
              <w:t>HMP Send</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6C9FF154"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w:t>
      </w:r>
      <w:proofErr w:type="spellStart"/>
      <w:r w:rsidRPr="00AA0E07">
        <w:rPr>
          <w:rFonts w:ascii="Arial" w:hAnsi="Arial" w:cs="Arial"/>
          <w:sz w:val="21"/>
          <w:szCs w:val="21"/>
        </w:rPr>
        <w:t>RAPt</w:t>
      </w:r>
      <w:proofErr w:type="spellEnd"/>
      <w:r w:rsidRPr="00AA0E07">
        <w:rPr>
          <w:rFonts w:ascii="Arial" w:hAnsi="Arial" w:cs="Arial"/>
          <w:sz w:val="21"/>
          <w:szCs w:val="21"/>
        </w:rPr>
        <w:t xml:space="preserve"> and Blue Sky), the social enterprise with charitable status that empowers people to break the </w:t>
      </w:r>
      <w:r w:rsidR="00995FAE" w:rsidRPr="00AA0E07">
        <w:rPr>
          <w:rFonts w:ascii="Arial" w:hAnsi="Arial" w:cs="Arial"/>
          <w:sz w:val="21"/>
          <w:szCs w:val="21"/>
        </w:rPr>
        <w:t>often-interlinked</w:t>
      </w:r>
      <w:r w:rsidRPr="00AA0E07">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4B78C953"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 xml:space="preserve">have </w:t>
      </w:r>
      <w:r w:rsidR="00995FAE" w:rsidRPr="00CF31BF">
        <w:rPr>
          <w:rFonts w:ascii="Arial" w:hAnsi="Arial" w:cs="Arial"/>
        </w:rPr>
        <w:t>broad skills</w:t>
      </w:r>
      <w:r w:rsidR="00CF31BF" w:rsidRPr="00CF31BF">
        <w:rPr>
          <w:rFonts w:ascii="Arial" w:hAnsi="Arial" w:cs="Arial"/>
        </w:rPr>
        <w:t xml:space="preserve">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service users aged 18 and over at</w:t>
      </w:r>
      <w:r w:rsidR="00143030">
        <w:rPr>
          <w:rFonts w:ascii="Arial" w:hAnsi="Arial" w:cs="Arial"/>
        </w:rPr>
        <w:t xml:space="preserve"> HMP Send.</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5CA8B8E5"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995FAE" w:rsidRPr="00CF31BF">
        <w:rPr>
          <w:rFonts w:ascii="Arial" w:hAnsi="Arial" w:cs="Arial"/>
        </w:rPr>
        <w:t>assessments,</w:t>
      </w:r>
      <w:r w:rsidR="001A15D9" w:rsidRPr="00CF31BF">
        <w:rPr>
          <w:rFonts w:ascii="Arial" w:hAnsi="Arial" w:cs="Arial"/>
        </w:rPr>
        <w:t xml:space="preserve">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21966611" w14:textId="21D66734"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lastRenderedPageBreak/>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532F72E"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w:t>
      </w:r>
      <w:r w:rsidR="00143030" w:rsidRPr="003E1F8F">
        <w:rPr>
          <w:sz w:val="22"/>
          <w:szCs w:val="22"/>
        </w:rPr>
        <w:t>objectives.</w:t>
      </w:r>
      <w:r w:rsidRPr="003E1F8F">
        <w:rPr>
          <w:sz w:val="22"/>
          <w:szCs w:val="22"/>
        </w:rPr>
        <w:t xml:space="preserve">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06C00EFF"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w:t>
      </w:r>
      <w:r w:rsidR="00143030" w:rsidRPr="003E1F8F">
        <w:rPr>
          <w:rFonts w:ascii="Arial" w:hAnsi="Arial" w:cs="Arial"/>
        </w:rPr>
        <w:t>journeys.</w:t>
      </w:r>
      <w:r w:rsidRPr="003E1F8F">
        <w:rPr>
          <w:rFonts w:ascii="Arial" w:hAnsi="Arial" w:cs="Arial"/>
        </w:rPr>
        <w:t xml:space="preserve"> </w:t>
      </w:r>
    </w:p>
    <w:p w14:paraId="776B91B9" w14:textId="110BFE51"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r w:rsidR="00143030">
        <w:rPr>
          <w:rFonts w:ascii="Arial" w:hAnsi="Arial" w:cs="Arial"/>
        </w:rPr>
        <w:t>.</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303F5F4D"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Support clinical services by carrying out second signatory </w:t>
      </w:r>
      <w:r w:rsidR="00143030" w:rsidRPr="003E1F8F">
        <w:rPr>
          <w:rFonts w:ascii="Arial" w:hAnsi="Arial" w:cs="Arial"/>
        </w:rPr>
        <w:t>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3735975F"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xml:space="preserve">, as set out by </w:t>
      </w:r>
      <w:r w:rsidR="00143030" w:rsidRPr="003E1F8F">
        <w:rPr>
          <w:rFonts w:ascii="Arial" w:hAnsi="Arial" w:cs="Arial"/>
        </w:rPr>
        <w:t>management.</w:t>
      </w:r>
    </w:p>
    <w:p w14:paraId="1F3CC2DB" w14:textId="20FD6A3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w:t>
      </w:r>
      <w:r w:rsidR="00143030" w:rsidRPr="003E1F8F">
        <w:rPr>
          <w:rFonts w:ascii="Arial" w:hAnsi="Arial" w:cs="Arial"/>
        </w:rPr>
        <w:t>seen,</w:t>
      </w:r>
      <w:r w:rsidR="00D61A0C" w:rsidRPr="003E1F8F">
        <w:rPr>
          <w:rFonts w:ascii="Arial" w:hAnsi="Arial" w:cs="Arial"/>
        </w:rPr>
        <w:t xml:space="preserve"> and relevant actions taken forward</w:t>
      </w:r>
      <w:r w:rsidRPr="003E1F8F">
        <w:rPr>
          <w:rFonts w:ascii="Arial" w:hAnsi="Arial" w:cs="Arial"/>
        </w:rPr>
        <w:t xml:space="preserve"> in a timely </w:t>
      </w:r>
      <w:r w:rsidR="001632C2" w:rsidRPr="003E1F8F">
        <w:rPr>
          <w:rFonts w:ascii="Arial" w:hAnsi="Arial" w:cs="Arial"/>
        </w:rPr>
        <w:t>manner.</w:t>
      </w:r>
    </w:p>
    <w:p w14:paraId="5D36449E" w14:textId="75C70637"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w:t>
      </w:r>
      <w:r w:rsidR="00143030" w:rsidRPr="003E1F8F">
        <w:rPr>
          <w:rFonts w:ascii="Arial" w:hAnsi="Arial" w:cs="Arial"/>
        </w:rPr>
        <w:t>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0535B095"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Adopt a multi-disciplinary approach and work seamlessly with Forward Trust central functions and external partners and </w:t>
      </w:r>
      <w:r w:rsidR="00143030" w:rsidRPr="003E1F8F">
        <w:rPr>
          <w:rFonts w:ascii="Arial" w:hAnsi="Arial" w:cs="Arial"/>
        </w:rPr>
        <w:t>providers.</w:t>
      </w:r>
    </w:p>
    <w:p w14:paraId="3F93DECD" w14:textId="1CBF695B" w:rsidR="00D61A0C" w:rsidRPr="003E1F8F" w:rsidRDefault="00D61A0C" w:rsidP="003E1F8F">
      <w:pPr>
        <w:pStyle w:val="Default"/>
        <w:numPr>
          <w:ilvl w:val="0"/>
          <w:numId w:val="47"/>
        </w:numPr>
        <w:jc w:val="both"/>
        <w:rPr>
          <w:sz w:val="22"/>
          <w:szCs w:val="22"/>
        </w:rPr>
      </w:pPr>
      <w:r w:rsidRPr="003E1F8F">
        <w:rPr>
          <w:sz w:val="22"/>
          <w:szCs w:val="22"/>
        </w:rPr>
        <w:t xml:space="preserve">Meet targets and deadlines in accordance with Health and Wellbeing contractual </w:t>
      </w:r>
      <w:r w:rsidR="00143030" w:rsidRPr="003E1F8F">
        <w:rPr>
          <w:sz w:val="22"/>
          <w:szCs w:val="22"/>
        </w:rPr>
        <w:t>standards.</w:t>
      </w:r>
    </w:p>
    <w:p w14:paraId="26D72F06" w14:textId="3E1BD240" w:rsidR="00D61A0C" w:rsidRPr="003E1F8F" w:rsidRDefault="00D61A0C" w:rsidP="003E1F8F">
      <w:pPr>
        <w:pStyle w:val="Default"/>
        <w:numPr>
          <w:ilvl w:val="0"/>
          <w:numId w:val="47"/>
        </w:numPr>
        <w:jc w:val="both"/>
        <w:rPr>
          <w:sz w:val="22"/>
          <w:szCs w:val="22"/>
        </w:rPr>
      </w:pPr>
      <w:r w:rsidRPr="003E1F8F">
        <w:rPr>
          <w:sz w:val="22"/>
          <w:szCs w:val="22"/>
        </w:rPr>
        <w:t xml:space="preserve">Contribute to the overall smooth running of the Health and Wellbeing service by being solution </w:t>
      </w:r>
      <w:r w:rsidR="00143030" w:rsidRPr="003E1F8F">
        <w:rPr>
          <w:sz w:val="22"/>
          <w:szCs w:val="22"/>
        </w:rPr>
        <w:t>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524A7064" w:rsidR="00AC6E18" w:rsidRPr="003E1F8F" w:rsidRDefault="00AC6E18" w:rsidP="003E1F8F">
      <w:pPr>
        <w:pStyle w:val="Default"/>
        <w:numPr>
          <w:ilvl w:val="0"/>
          <w:numId w:val="47"/>
        </w:numPr>
        <w:jc w:val="both"/>
        <w:rPr>
          <w:sz w:val="22"/>
          <w:szCs w:val="22"/>
        </w:rPr>
      </w:pPr>
      <w:r w:rsidRPr="003E1F8F">
        <w:rPr>
          <w:sz w:val="22"/>
          <w:szCs w:val="22"/>
        </w:rPr>
        <w:t xml:space="preserve">Engage in audits and quality assurance processes ensuring that any actions or issues raised are addressed in a timely </w:t>
      </w:r>
      <w:r w:rsidR="00143030" w:rsidRPr="003E1F8F">
        <w:rPr>
          <w:sz w:val="22"/>
          <w:szCs w:val="22"/>
        </w:rPr>
        <w:t>manner.</w:t>
      </w:r>
    </w:p>
    <w:p w14:paraId="1B2EB728" w14:textId="0349CFDC" w:rsidR="00AC6E18" w:rsidRPr="003E1F8F" w:rsidRDefault="00AC6E18" w:rsidP="003E1F8F">
      <w:pPr>
        <w:pStyle w:val="Default"/>
        <w:numPr>
          <w:ilvl w:val="0"/>
          <w:numId w:val="47"/>
        </w:numPr>
        <w:jc w:val="both"/>
        <w:rPr>
          <w:sz w:val="22"/>
          <w:szCs w:val="22"/>
        </w:rPr>
      </w:pPr>
      <w:r w:rsidRPr="003E1F8F">
        <w:rPr>
          <w:sz w:val="22"/>
          <w:szCs w:val="22"/>
        </w:rPr>
        <w:t xml:space="preserve">Ensure any good practice or learning is effectively shared throughout the health and wellbeing service to ensure continuous </w:t>
      </w:r>
      <w:r w:rsidR="00143030" w:rsidRPr="003E1F8F">
        <w:rPr>
          <w:sz w:val="22"/>
          <w:szCs w:val="22"/>
        </w:rPr>
        <w:t>improvement.</w:t>
      </w:r>
    </w:p>
    <w:p w14:paraId="6A352F1A" w14:textId="071B5002"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w:t>
      </w:r>
      <w:proofErr w:type="gramStart"/>
      <w:r w:rsidRPr="003E1F8F">
        <w:rPr>
          <w:sz w:val="22"/>
          <w:szCs w:val="22"/>
        </w:rPr>
        <w:t>in the course of</w:t>
      </w:r>
      <w:proofErr w:type="gramEnd"/>
      <w:r w:rsidRPr="003E1F8F">
        <w:rPr>
          <w:sz w:val="22"/>
          <w:szCs w:val="22"/>
        </w:rPr>
        <w:t xml:space="preserve"> delivering </w:t>
      </w:r>
      <w:r w:rsidR="00143030" w:rsidRPr="003E1F8F">
        <w:rPr>
          <w:sz w:val="22"/>
          <w:szCs w:val="22"/>
        </w:rPr>
        <w:t>service.</w:t>
      </w:r>
      <w:r w:rsidRPr="003E1F8F">
        <w:rPr>
          <w:sz w:val="22"/>
          <w:szCs w:val="22"/>
        </w:rPr>
        <w:t xml:space="preserve"> </w:t>
      </w:r>
    </w:p>
    <w:p w14:paraId="155CF3C8" w14:textId="15D6D020" w:rsidR="00AC6E18" w:rsidRPr="003E1F8F" w:rsidRDefault="00AC6E18" w:rsidP="003E1F8F">
      <w:pPr>
        <w:pStyle w:val="Default"/>
        <w:numPr>
          <w:ilvl w:val="0"/>
          <w:numId w:val="47"/>
        </w:numPr>
        <w:jc w:val="both"/>
        <w:rPr>
          <w:sz w:val="22"/>
          <w:szCs w:val="22"/>
        </w:rPr>
      </w:pPr>
      <w:r w:rsidRPr="003E1F8F">
        <w:rPr>
          <w:sz w:val="22"/>
          <w:szCs w:val="22"/>
        </w:rPr>
        <w:t xml:space="preserve">Abide by all Forward’s policies and procedures and encourage others to do the </w:t>
      </w:r>
      <w:r w:rsidR="00143030" w:rsidRPr="003E1F8F">
        <w:rPr>
          <w:sz w:val="22"/>
          <w:szCs w:val="22"/>
        </w:rPr>
        <w:t>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66D1FC49"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w:t>
      </w:r>
      <w:r w:rsidR="001632C2" w:rsidRPr="003E1F8F">
        <w:rPr>
          <w:color w:val="auto"/>
          <w:sz w:val="22"/>
          <w:szCs w:val="22"/>
        </w:rPr>
        <w:t>research,</w:t>
      </w:r>
      <w:r w:rsidRPr="003E1F8F">
        <w:rPr>
          <w:color w:val="auto"/>
          <w:sz w:val="22"/>
          <w:szCs w:val="22"/>
        </w:rPr>
        <w:t xml:space="preserve"> and reporting purposes, is effectively and efficiently collected, recorded, shared and stored according to information management and data protection </w:t>
      </w:r>
      <w:r w:rsidR="00143030" w:rsidRPr="003E1F8F">
        <w:rPr>
          <w:color w:val="auto"/>
          <w:sz w:val="22"/>
          <w:szCs w:val="22"/>
        </w:rPr>
        <w:t>policy.</w:t>
      </w:r>
      <w:r w:rsidRPr="003E1F8F">
        <w:rPr>
          <w:color w:val="auto"/>
          <w:sz w:val="22"/>
          <w:szCs w:val="22"/>
        </w:rPr>
        <w:t xml:space="preserve">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083EA0DD"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w:t>
      </w:r>
      <w:r w:rsidR="00143030" w:rsidRPr="003E1F8F">
        <w:rPr>
          <w:color w:val="auto"/>
          <w:sz w:val="22"/>
          <w:szCs w:val="22"/>
        </w:rPr>
        <w:t>development.</w:t>
      </w:r>
      <w:r w:rsidRPr="003E1F8F">
        <w:rPr>
          <w:color w:val="auto"/>
          <w:sz w:val="22"/>
          <w:szCs w:val="22"/>
        </w:rPr>
        <w:t xml:space="preserve">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4DBEAC05"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 xml:space="preserve">Ensure all your case management documentation is maintained to the expected audit </w:t>
      </w:r>
      <w:r w:rsidR="00143030" w:rsidRPr="003E1F8F">
        <w:rPr>
          <w:rFonts w:ascii="Arial" w:hAnsi="Arial" w:cs="Arial"/>
        </w:rPr>
        <w:t>standards.</w:t>
      </w:r>
    </w:p>
    <w:p w14:paraId="64A1D404" w14:textId="0FED96E6"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Ensure data capture forms are submitted in a timely manner </w:t>
      </w:r>
      <w:proofErr w:type="gramStart"/>
      <w:r w:rsidRPr="003E1F8F">
        <w:rPr>
          <w:rFonts w:ascii="Arial" w:hAnsi="Arial" w:cs="Arial"/>
        </w:rPr>
        <w:t>in order to</w:t>
      </w:r>
      <w:proofErr w:type="gramEnd"/>
      <w:r w:rsidRPr="003E1F8F">
        <w:rPr>
          <w:rFonts w:ascii="Arial" w:hAnsi="Arial" w:cs="Arial"/>
        </w:rPr>
        <w:t xml:space="preserve"> reflect outcomes on </w:t>
      </w:r>
      <w:r w:rsidR="00143030" w:rsidRPr="003E1F8F">
        <w:rPr>
          <w:rFonts w:ascii="Arial" w:hAnsi="Arial" w:cs="Arial"/>
        </w:rPr>
        <w:t>NDTMS.</w:t>
      </w:r>
    </w:p>
    <w:p w14:paraId="2F4F774B" w14:textId="61A54CAA"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 xml:space="preserve">care plans and assessments to the required </w:t>
      </w:r>
      <w:r w:rsidR="00143030" w:rsidRPr="003E1F8F">
        <w:rPr>
          <w:rFonts w:ascii="Arial" w:hAnsi="Arial" w:cs="Arial"/>
        </w:rPr>
        <w:t>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6C2F96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Use IT efficiently to support your </w:t>
      </w:r>
      <w:r w:rsidR="00143030" w:rsidRPr="003E1F8F">
        <w:rPr>
          <w:color w:val="auto"/>
          <w:sz w:val="22"/>
          <w:szCs w:val="22"/>
        </w:rPr>
        <w:t>role.</w:t>
      </w:r>
    </w:p>
    <w:p w14:paraId="39A48DEE" w14:textId="04082FCE"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r w:rsidR="001632C2" w:rsidRPr="003E1F8F">
        <w:rPr>
          <w:color w:val="auto"/>
          <w:sz w:val="22"/>
          <w:szCs w:val="22"/>
        </w:rPr>
        <w:t>e.g.,</w:t>
      </w:r>
      <w:r w:rsidRPr="003E1F8F">
        <w:rPr>
          <w:color w:val="auto"/>
          <w:sz w:val="22"/>
          <w:szCs w:val="22"/>
        </w:rPr>
        <w:t xml:space="preserve"> Forward Trust Intranet, </w:t>
      </w:r>
      <w:proofErr w:type="spellStart"/>
      <w:r w:rsidRPr="003E1F8F">
        <w:rPr>
          <w:color w:val="auto"/>
          <w:sz w:val="22"/>
          <w:szCs w:val="22"/>
        </w:rPr>
        <w:t>Systm</w:t>
      </w:r>
      <w:proofErr w:type="spellEnd"/>
      <w:r w:rsidRPr="003E1F8F">
        <w:rPr>
          <w:color w:val="auto"/>
          <w:sz w:val="22"/>
          <w:szCs w:val="22"/>
        </w:rPr>
        <w:t xml:space="preserve"> 1, Nebula, NDTMS, P-Nomis and others relevant to your role</w:t>
      </w:r>
    </w:p>
    <w:p w14:paraId="76C45EC2" w14:textId="69CE549E"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Ensure you work within set joint working protocols between multi-disciplinary agencies and share information </w:t>
      </w:r>
      <w:r w:rsidR="00143030" w:rsidRPr="003E1F8F">
        <w:rPr>
          <w:color w:val="auto"/>
          <w:sz w:val="22"/>
          <w:szCs w:val="22"/>
        </w:rPr>
        <w:t>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w:t>
            </w:r>
            <w:proofErr w:type="gramStart"/>
            <w:r w:rsidRPr="00391724">
              <w:rPr>
                <w:rFonts w:ascii="Arial" w:hAnsi="Arial" w:cs="Arial"/>
              </w:rPr>
              <w:t>low level</w:t>
            </w:r>
            <w:proofErr w:type="gramEnd"/>
            <w:r w:rsidRPr="00391724">
              <w:rPr>
                <w:rFonts w:ascii="Arial" w:hAnsi="Arial" w:cs="Arial"/>
              </w:rPr>
              <w:t xml:space="preserve">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 xml:space="preserve">Previous experience of working in a </w:t>
            </w:r>
            <w:proofErr w:type="gramStart"/>
            <w:r w:rsidRPr="00391724">
              <w:rPr>
                <w:rFonts w:ascii="Arial" w:hAnsi="Arial" w:cs="Arial"/>
              </w:rPr>
              <w:t>12 step</w:t>
            </w:r>
            <w:proofErr w:type="gramEnd"/>
            <w:r w:rsidRPr="00391724">
              <w:rPr>
                <w:rFonts w:ascii="Arial" w:hAnsi="Arial" w:cs="Arial"/>
              </w:rPr>
              <w:t xml:space="preserve">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w:t>
            </w:r>
            <w:proofErr w:type="gramStart"/>
            <w:r w:rsidRPr="00391724">
              <w:rPr>
                <w:rFonts w:ascii="Arial" w:eastAsiaTheme="minorEastAsia" w:hAnsi="Arial" w:cs="Arial"/>
                <w:color w:val="1F2A44"/>
              </w:rPr>
              <w:t>high level</w:t>
            </w:r>
            <w:proofErr w:type="gramEnd"/>
            <w:r w:rsidRPr="00391724">
              <w:rPr>
                <w:rFonts w:ascii="Arial" w:eastAsiaTheme="minorEastAsia" w:hAnsi="Arial" w:cs="Arial"/>
                <w:color w:val="1F2A44"/>
              </w:rPr>
              <w:t xml:space="preserve">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w:t>
            </w:r>
            <w:proofErr w:type="gramStart"/>
            <w:r w:rsidRPr="00391724">
              <w:rPr>
                <w:rFonts w:ascii="Arial" w:eastAsiaTheme="minorEastAsia" w:hAnsi="Arial" w:cs="Arial"/>
                <w:color w:val="1F2A44"/>
              </w:rPr>
              <w:t>in order to</w:t>
            </w:r>
            <w:proofErr w:type="gramEnd"/>
            <w:r w:rsidRPr="00391724">
              <w:rPr>
                <w:rFonts w:ascii="Arial" w:eastAsiaTheme="minorEastAsia" w:hAnsi="Arial" w:cs="Arial"/>
                <w:color w:val="1F2A44"/>
              </w:rPr>
              <w:t xml:space="preserve">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9B31" w14:textId="77777777" w:rsidR="00690C8F" w:rsidRDefault="00690C8F" w:rsidP="00E513CD">
      <w:pPr>
        <w:spacing w:after="0" w:line="240" w:lineRule="auto"/>
      </w:pPr>
      <w:r>
        <w:separator/>
      </w:r>
    </w:p>
  </w:endnote>
  <w:endnote w:type="continuationSeparator" w:id="0">
    <w:p w14:paraId="41BB0B88" w14:textId="77777777" w:rsidR="00690C8F" w:rsidRDefault="00690C8F"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44A05" w14:textId="77777777" w:rsidR="00690C8F" w:rsidRDefault="00690C8F" w:rsidP="00E513CD">
      <w:pPr>
        <w:spacing w:after="0" w:line="240" w:lineRule="auto"/>
      </w:pPr>
      <w:r>
        <w:separator/>
      </w:r>
    </w:p>
  </w:footnote>
  <w:footnote w:type="continuationSeparator" w:id="0">
    <w:p w14:paraId="3B8E862A" w14:textId="77777777" w:rsidR="00690C8F" w:rsidRDefault="00690C8F"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91EF4"/>
    <w:rsid w:val="000A3F71"/>
    <w:rsid w:val="000C2FE7"/>
    <w:rsid w:val="000C5695"/>
    <w:rsid w:val="000F185A"/>
    <w:rsid w:val="00101ADA"/>
    <w:rsid w:val="0011354A"/>
    <w:rsid w:val="00137BE6"/>
    <w:rsid w:val="00143030"/>
    <w:rsid w:val="00152E49"/>
    <w:rsid w:val="001632C2"/>
    <w:rsid w:val="001661E6"/>
    <w:rsid w:val="00181FE9"/>
    <w:rsid w:val="001A15D9"/>
    <w:rsid w:val="00205BEB"/>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E1F8F"/>
    <w:rsid w:val="004122BA"/>
    <w:rsid w:val="00414CED"/>
    <w:rsid w:val="004257D2"/>
    <w:rsid w:val="00440963"/>
    <w:rsid w:val="004C5635"/>
    <w:rsid w:val="004E54BF"/>
    <w:rsid w:val="004F0490"/>
    <w:rsid w:val="00527C13"/>
    <w:rsid w:val="005A5A2B"/>
    <w:rsid w:val="005D4224"/>
    <w:rsid w:val="005D4271"/>
    <w:rsid w:val="005D75A2"/>
    <w:rsid w:val="00663A0B"/>
    <w:rsid w:val="00690C8F"/>
    <w:rsid w:val="006C5CF5"/>
    <w:rsid w:val="006D352C"/>
    <w:rsid w:val="006F4258"/>
    <w:rsid w:val="00713C96"/>
    <w:rsid w:val="007238EF"/>
    <w:rsid w:val="0072687C"/>
    <w:rsid w:val="0072794C"/>
    <w:rsid w:val="00732E11"/>
    <w:rsid w:val="00741D43"/>
    <w:rsid w:val="00747875"/>
    <w:rsid w:val="007A4D3C"/>
    <w:rsid w:val="008043FD"/>
    <w:rsid w:val="00892AE5"/>
    <w:rsid w:val="008E73D0"/>
    <w:rsid w:val="00995FAE"/>
    <w:rsid w:val="009E0E40"/>
    <w:rsid w:val="00A25895"/>
    <w:rsid w:val="00A603F3"/>
    <w:rsid w:val="00A84C5B"/>
    <w:rsid w:val="00AA0E07"/>
    <w:rsid w:val="00AC48E2"/>
    <w:rsid w:val="00AC6E18"/>
    <w:rsid w:val="00B964F4"/>
    <w:rsid w:val="00C02F8D"/>
    <w:rsid w:val="00C12CB6"/>
    <w:rsid w:val="00C23E9A"/>
    <w:rsid w:val="00C40615"/>
    <w:rsid w:val="00C55F06"/>
    <w:rsid w:val="00CA5E10"/>
    <w:rsid w:val="00CE1B54"/>
    <w:rsid w:val="00CF31BF"/>
    <w:rsid w:val="00D206C3"/>
    <w:rsid w:val="00D4528A"/>
    <w:rsid w:val="00D61A0C"/>
    <w:rsid w:val="00D87ED5"/>
    <w:rsid w:val="00D941F9"/>
    <w:rsid w:val="00DA6CAF"/>
    <w:rsid w:val="00DD163A"/>
    <w:rsid w:val="00E1217D"/>
    <w:rsid w:val="00E15105"/>
    <w:rsid w:val="00E21D3A"/>
    <w:rsid w:val="00E462CF"/>
    <w:rsid w:val="00E508E7"/>
    <w:rsid w:val="00E513CD"/>
    <w:rsid w:val="00E9201D"/>
    <w:rsid w:val="00EB305C"/>
    <w:rsid w:val="00ED0C8F"/>
    <w:rsid w:val="00EE35C8"/>
    <w:rsid w:val="00EE69A2"/>
    <w:rsid w:val="00F22426"/>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2.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4.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Roberts, Leah [HMPS] | She/Hers</cp:lastModifiedBy>
  <cp:revision>2</cp:revision>
  <cp:lastPrinted>2019-01-18T12:58:00Z</cp:lastPrinted>
  <dcterms:created xsi:type="dcterms:W3CDTF">2024-10-22T10:19:00Z</dcterms:created>
  <dcterms:modified xsi:type="dcterms:W3CDTF">2024-10-22T10:19:00Z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