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6811" w14:textId="3BFF61F1" w:rsidR="00A136E1" w:rsidRDefault="00194714">
      <w:pPr>
        <w:spacing w:after="0" w:line="259" w:lineRule="auto"/>
        <w:ind w:left="7335" w:right="-101" w:firstLine="0"/>
      </w:pPr>
      <w:r>
        <w:rPr>
          <w:rFonts w:ascii="Calibri" w:eastAsia="Calibri" w:hAnsi="Calibri" w:cs="Calibri"/>
          <w:noProof/>
        </w:rPr>
        <w:drawing>
          <wp:inline distT="0" distB="0" distL="0" distR="0" wp14:anchorId="1CF87D59" wp14:editId="7658D7C9">
            <wp:extent cx="1892781" cy="464820"/>
            <wp:effectExtent l="0" t="0" r="0" b="0"/>
            <wp:docPr id="384440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40843" name="Picture 3844408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20" cy="4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 wp14:anchorId="12AAF0AD" wp14:editId="56570A43">
                <wp:extent cx="51809" cy="254541"/>
                <wp:effectExtent l="0" t="0" r="0" b="0"/>
                <wp:docPr id="186145583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545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D773D3" w14:textId="77777777" w:rsidR="00A136E1" w:rsidRDefault="00A136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AF0AD" id="Rectangle 11" o:spid="_x0000_s1026" style="width:4.1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" filled="f" stroked="f">
                <v:textbox inset="0,0,0,0">
                  <w:txbxContent>
                    <w:p w14:paraId="1CD773D3" w14:textId="77777777" w:rsidR="00A136E1" w:rsidRDefault="00A136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9DC0CF7" w14:textId="02FAE2D1" w:rsidR="00A136E1" w:rsidRDefault="00761E5C" w:rsidP="00B64C3A">
      <w:pPr>
        <w:spacing w:after="0" w:line="259" w:lineRule="auto"/>
        <w:ind w:left="0" w:firstLine="0"/>
      </w:pPr>
      <w:r>
        <w:t xml:space="preserve"> </w:t>
      </w:r>
    </w:p>
    <w:p w14:paraId="69EA554A" w14:textId="77777777" w:rsidR="00A136E1" w:rsidRDefault="00761E5C">
      <w:pPr>
        <w:tabs>
          <w:tab w:val="center" w:pos="2940"/>
          <w:tab w:val="center" w:pos="10065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32"/>
        </w:rPr>
        <w:t>The Forward Trust Job Description</w:t>
      </w: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14:paraId="5DD6F7DC" w14:textId="77777777" w:rsidR="00A136E1" w:rsidRDefault="00761E5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10034" w:type="dxa"/>
        <w:tblInd w:w="22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618"/>
        <w:gridCol w:w="3544"/>
        <w:gridCol w:w="1417"/>
        <w:gridCol w:w="3455"/>
      </w:tblGrid>
      <w:tr w:rsidR="00A136E1" w14:paraId="7753E085" w14:textId="77777777" w:rsidTr="00DA7A0F">
        <w:trPr>
          <w:trHeight w:val="69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960E" w14:textId="77777777" w:rsidR="00A136E1" w:rsidRDefault="00761E5C">
            <w:pPr>
              <w:spacing w:after="0" w:line="259" w:lineRule="auto"/>
              <w:ind w:left="109" w:firstLine="0"/>
            </w:pPr>
            <w:r>
              <w:rPr>
                <w:b/>
              </w:rPr>
              <w:t xml:space="preserve">Position Title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009" w14:textId="77777777" w:rsidR="00DA7A0F" w:rsidRDefault="00DA7A0F">
            <w:pPr>
              <w:spacing w:after="0" w:line="259" w:lineRule="auto"/>
              <w:ind w:left="108" w:firstLine="0"/>
            </w:pPr>
          </w:p>
          <w:p w14:paraId="745C5679" w14:textId="74A9FE7A" w:rsidR="00A136E1" w:rsidRDefault="00D52D0A">
            <w:pPr>
              <w:spacing w:after="0" w:line="259" w:lineRule="auto"/>
              <w:ind w:left="108" w:firstLine="0"/>
            </w:pPr>
            <w:r>
              <w:t xml:space="preserve">Data Protection Officer </w:t>
            </w:r>
            <w:r w:rsidR="008A0743">
              <w:t>(DPO)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536D" w14:textId="77777777" w:rsidR="00A136E1" w:rsidRDefault="00761E5C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Reports To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2CA0" w14:textId="4F69FD9E" w:rsidR="00A136E1" w:rsidRDefault="00DA7A0F" w:rsidP="00DA7A0F">
            <w:pPr>
              <w:spacing w:after="0" w:line="259" w:lineRule="auto"/>
              <w:ind w:left="106" w:firstLine="0"/>
            </w:pPr>
            <w:r>
              <w:t>Director of</w:t>
            </w:r>
            <w:r w:rsidR="00D52D0A">
              <w:t xml:space="preserve"> Governance and Quality Assurance</w:t>
            </w:r>
          </w:p>
        </w:tc>
      </w:tr>
      <w:tr w:rsidR="00A136E1" w14:paraId="0DEDCECB" w14:textId="77777777" w:rsidTr="00DA7A0F">
        <w:trPr>
          <w:trHeight w:val="377"/>
        </w:trPr>
        <w:tc>
          <w:tcPr>
            <w:tcW w:w="51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D94BD2" w14:textId="77777777" w:rsidR="00A136E1" w:rsidRDefault="00761E5C">
            <w:pPr>
              <w:spacing w:after="0" w:line="259" w:lineRule="auto"/>
              <w:ind w:left="-4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3E9AB9" w14:textId="77777777" w:rsidR="00A136E1" w:rsidRDefault="00A136E1">
            <w:pPr>
              <w:spacing w:after="160" w:line="259" w:lineRule="auto"/>
              <w:ind w:left="0" w:firstLine="0"/>
            </w:pP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C2601A" w14:textId="77777777" w:rsidR="00A136E1" w:rsidRDefault="00A136E1">
            <w:pPr>
              <w:spacing w:after="160" w:line="259" w:lineRule="auto"/>
              <w:ind w:left="0" w:firstLine="0"/>
            </w:pPr>
          </w:p>
        </w:tc>
      </w:tr>
      <w:tr w:rsidR="00A136E1" w14:paraId="6DAB6870" w14:textId="77777777" w:rsidTr="00DA7A0F">
        <w:trPr>
          <w:trHeight w:val="540"/>
        </w:trPr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14:paraId="7722F345" w14:textId="77777777" w:rsidR="00A136E1" w:rsidRDefault="00761E5C">
            <w:pPr>
              <w:spacing w:after="0" w:line="259" w:lineRule="auto"/>
              <w:ind w:left="104" w:firstLine="0"/>
            </w:pPr>
            <w:r>
              <w:rPr>
                <w:b/>
                <w:color w:val="FFFFFF"/>
                <w:sz w:val="28"/>
              </w:rPr>
              <w:t>Introducing Forward Trust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14:paraId="12DBA0BF" w14:textId="77777777" w:rsidR="00A136E1" w:rsidRDefault="00A136E1">
            <w:pPr>
              <w:spacing w:after="160" w:line="259" w:lineRule="auto"/>
              <w:ind w:left="0" w:firstLine="0"/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14:paraId="0EB26A79" w14:textId="77777777" w:rsidR="00A136E1" w:rsidRDefault="00A136E1">
            <w:pPr>
              <w:spacing w:after="160" w:line="259" w:lineRule="auto"/>
              <w:ind w:left="0" w:firstLine="0"/>
            </w:pPr>
          </w:p>
        </w:tc>
      </w:tr>
    </w:tbl>
    <w:p w14:paraId="6C9F6888" w14:textId="01A0762B" w:rsidR="00DA7A0F" w:rsidRDefault="00761E5C" w:rsidP="00B64C3A">
      <w:pPr>
        <w:spacing w:after="136" w:line="259" w:lineRule="auto"/>
        <w:ind w:left="324" w:firstLine="0"/>
      </w:pPr>
      <w:r w:rsidRPr="00DA7A0F">
        <w:t xml:space="preserve">We are Forward, the social enterprise that empowers people to break the cycle of crime or addiction to move forward with their lives. For more than </w:t>
      </w:r>
      <w:r w:rsidR="00194714">
        <w:t>3</w:t>
      </w:r>
      <w:r w:rsidRPr="00DA7A0F">
        <w:t xml:space="preserve">5 years we have been working with people to build positive and productive lives, whatever their past. We believe that anyone is capable of lasting change. </w:t>
      </w:r>
    </w:p>
    <w:p w14:paraId="202A0B49" w14:textId="48061BA5" w:rsidR="00A136E1" w:rsidRPr="00DA7A0F" w:rsidRDefault="00761E5C">
      <w:pPr>
        <w:spacing w:after="120" w:line="275" w:lineRule="auto"/>
        <w:ind w:left="324" w:firstLine="0"/>
        <w:jc w:val="both"/>
      </w:pPr>
      <w:r w:rsidRPr="00DA7A0F">
        <w:t xml:space="preserve">Our services have supported </w:t>
      </w:r>
      <w:r w:rsidR="00194714">
        <w:t xml:space="preserve">tens of </w:t>
      </w:r>
      <w:r w:rsidRPr="00DA7A0F">
        <w:t xml:space="preserve">thousands of people to make positive changes and build productive lives with a job, family, friends and a sense of community. </w:t>
      </w:r>
    </w:p>
    <w:p w14:paraId="75A9BBF8" w14:textId="77777777" w:rsidR="00A136E1" w:rsidRDefault="00761E5C">
      <w:pPr>
        <w:pStyle w:val="Heading1"/>
        <w:ind w:left="319"/>
      </w:pPr>
      <w:r>
        <w:t xml:space="preserve">Role/Team Overview </w:t>
      </w:r>
    </w:p>
    <w:p w14:paraId="6E3357C4" w14:textId="73BBAB1D" w:rsidR="00ED5C9C" w:rsidRDefault="008A0743" w:rsidP="00B64C3A">
      <w:pPr>
        <w:spacing w:after="0" w:line="259" w:lineRule="auto"/>
        <w:ind w:left="324" w:firstLine="0"/>
        <w:jc w:val="both"/>
      </w:pPr>
      <w:r w:rsidRPr="008A0743">
        <w:t xml:space="preserve">The </w:t>
      </w:r>
      <w:r>
        <w:t xml:space="preserve">primary </w:t>
      </w:r>
      <w:r w:rsidRPr="008A0743">
        <w:t xml:space="preserve">focus of this role is to ensure the </w:t>
      </w:r>
      <w:r>
        <w:t>charity</w:t>
      </w:r>
      <w:r w:rsidRPr="008A0743">
        <w:t xml:space="preserve">’s compliance with relevant data protection legislation, and to </w:t>
      </w:r>
      <w:r>
        <w:t xml:space="preserve">independently </w:t>
      </w:r>
      <w:r w:rsidRPr="008A0743">
        <w:t>provide advice</w:t>
      </w:r>
      <w:r>
        <w:t>, support</w:t>
      </w:r>
      <w:r w:rsidRPr="008A0743">
        <w:t xml:space="preserve"> and guidance on all matters relating to data protection</w:t>
      </w:r>
      <w:r>
        <w:t xml:space="preserve"> and </w:t>
      </w:r>
      <w:r w:rsidR="003208A6">
        <w:t>information</w:t>
      </w:r>
      <w:r>
        <w:t xml:space="preserve"> governance</w:t>
      </w:r>
      <w:r w:rsidRPr="008A0743">
        <w:t>. The D</w:t>
      </w:r>
      <w:r>
        <w:t xml:space="preserve">PO </w:t>
      </w:r>
      <w:r w:rsidRPr="008A0743">
        <w:t>will evaluate and address risk relating to data protection</w:t>
      </w:r>
      <w:r>
        <w:t>, privacy and information governance</w:t>
      </w:r>
      <w:r w:rsidRPr="008A0743">
        <w:t xml:space="preserve"> across the organisation and work collaboratively with </w:t>
      </w:r>
      <w:r>
        <w:t xml:space="preserve">internal and external stakeholders. </w:t>
      </w:r>
    </w:p>
    <w:p w14:paraId="47FE4D15" w14:textId="77777777" w:rsidR="00ED5C9C" w:rsidRDefault="00ED5C9C" w:rsidP="008A0743"/>
    <w:p w14:paraId="42AE4F97" w14:textId="4836CB77" w:rsidR="001F0F53" w:rsidRPr="005F26F1" w:rsidRDefault="001F0F53" w:rsidP="001F0F53">
      <w:r>
        <w:t xml:space="preserve">The DPO will be part of the charity’s Governance team and will be managed by, and report to, the </w:t>
      </w:r>
      <w:r w:rsidR="00203CC2">
        <w:t>Executive Director of Governance and Quality Assurance</w:t>
      </w:r>
      <w:r>
        <w:t xml:space="preserve">. The DPO is explicitly authorised to also report directly to the </w:t>
      </w:r>
      <w:r w:rsidRPr="005F26F1">
        <w:t>Chief Operating Officer</w:t>
      </w:r>
      <w:r>
        <w:t xml:space="preserve"> (Senior Information Risk Owner), senior management and to the board of trustees. </w:t>
      </w:r>
    </w:p>
    <w:p w14:paraId="739095A5" w14:textId="77777777" w:rsidR="00A136E1" w:rsidRDefault="00761E5C" w:rsidP="00CB3E10">
      <w:r>
        <w:t xml:space="preserve">  </w:t>
      </w:r>
    </w:p>
    <w:p w14:paraId="36EBCBFC" w14:textId="320AA926" w:rsidR="00A136E1" w:rsidRPr="005F26F1" w:rsidRDefault="00761E5C" w:rsidP="00B64C3A">
      <w:pPr>
        <w:pStyle w:val="Heading1"/>
        <w:ind w:left="319"/>
      </w:pPr>
      <w:r>
        <w:t xml:space="preserve">Principal Accountabilities </w:t>
      </w:r>
    </w:p>
    <w:p w14:paraId="0EFD57D2" w14:textId="77777777" w:rsidR="005D0AC9" w:rsidRPr="005F26F1" w:rsidRDefault="005D0AC9" w:rsidP="00A206B8">
      <w:pPr>
        <w:pStyle w:val="Default"/>
        <w:numPr>
          <w:ilvl w:val="0"/>
          <w:numId w:val="7"/>
        </w:numPr>
        <w:spacing w:after="22"/>
        <w:rPr>
          <w:rFonts w:ascii="Arial" w:hAnsi="Arial" w:cs="Arial"/>
          <w:sz w:val="22"/>
          <w:szCs w:val="22"/>
        </w:rPr>
      </w:pPr>
      <w:r w:rsidRPr="005F26F1">
        <w:rPr>
          <w:rFonts w:ascii="Arial" w:hAnsi="Arial" w:cs="Arial"/>
          <w:sz w:val="22"/>
          <w:szCs w:val="22"/>
        </w:rPr>
        <w:t xml:space="preserve">Oversee an assurance program and related </w:t>
      </w:r>
      <w:r w:rsidR="00A206B8" w:rsidRPr="005F26F1">
        <w:rPr>
          <w:rFonts w:ascii="Arial" w:hAnsi="Arial" w:cs="Arial"/>
          <w:sz w:val="22"/>
          <w:szCs w:val="22"/>
        </w:rPr>
        <w:t xml:space="preserve">Data Protection compliance </w:t>
      </w:r>
      <w:r w:rsidRPr="005F26F1">
        <w:rPr>
          <w:rFonts w:ascii="Arial" w:hAnsi="Arial" w:cs="Arial"/>
          <w:sz w:val="22"/>
          <w:szCs w:val="22"/>
        </w:rPr>
        <w:t xml:space="preserve">audits </w:t>
      </w:r>
    </w:p>
    <w:p w14:paraId="3806921E" w14:textId="20F5FAD1" w:rsidR="00C96914" w:rsidRDefault="00C96914" w:rsidP="00992514">
      <w:pPr>
        <w:pStyle w:val="ListParagraph"/>
        <w:numPr>
          <w:ilvl w:val="0"/>
          <w:numId w:val="7"/>
        </w:numPr>
      </w:pPr>
      <w:r>
        <w:t>Lead on data subject rights, including the management of DSARs, erasure, rectification, restrictions and related issues</w:t>
      </w:r>
    </w:p>
    <w:p w14:paraId="281EBB87" w14:textId="05598B33" w:rsidR="005D0AC9" w:rsidRPr="00992514" w:rsidRDefault="00662293" w:rsidP="00662293">
      <w:pPr>
        <w:pStyle w:val="ListParagraph"/>
        <w:numPr>
          <w:ilvl w:val="0"/>
          <w:numId w:val="7"/>
        </w:numPr>
      </w:pPr>
      <w:r w:rsidRPr="00992514">
        <w:t>Monitor compliance with data protection laws</w:t>
      </w:r>
      <w:r w:rsidR="00306610">
        <w:t>, inform, advise</w:t>
      </w:r>
      <w:r>
        <w:t xml:space="preserve"> and ma</w:t>
      </w:r>
      <w:r w:rsidR="005D0AC9" w:rsidRPr="00992514">
        <w:t xml:space="preserve">nage the assignment of responsibilities to deliver compliance with data protection laws and policies </w:t>
      </w:r>
    </w:p>
    <w:p w14:paraId="3EE53F04" w14:textId="30336C0B" w:rsidR="005D0AC9" w:rsidRPr="00992514" w:rsidRDefault="005D0AC9" w:rsidP="00992514">
      <w:pPr>
        <w:pStyle w:val="ListParagraph"/>
        <w:numPr>
          <w:ilvl w:val="0"/>
          <w:numId w:val="7"/>
        </w:numPr>
      </w:pPr>
      <w:r w:rsidRPr="00992514">
        <w:t>Oversee the maintenance of records required to demonstrate data protection compliance</w:t>
      </w:r>
    </w:p>
    <w:p w14:paraId="7BAF3F5C" w14:textId="782A4146" w:rsidR="005D0AC9" w:rsidRPr="00992514" w:rsidRDefault="005D0AC9" w:rsidP="00992514">
      <w:pPr>
        <w:pStyle w:val="ListParagraph"/>
        <w:numPr>
          <w:ilvl w:val="0"/>
          <w:numId w:val="7"/>
        </w:numPr>
      </w:pPr>
      <w:r w:rsidRPr="00992514">
        <w:t>Supervise and advise on data protection impact assessments</w:t>
      </w:r>
      <w:r w:rsidR="00FA3A6F">
        <w:t xml:space="preserve"> and vendor/processor assurance and due </w:t>
      </w:r>
      <w:r w:rsidR="00306610">
        <w:t>diligence, including data processing agreements and similar</w:t>
      </w:r>
    </w:p>
    <w:p w14:paraId="09721064" w14:textId="2E94C5CC" w:rsidR="00117DCE" w:rsidRPr="00992514" w:rsidRDefault="00117DCE" w:rsidP="00992514">
      <w:pPr>
        <w:pStyle w:val="ListParagraph"/>
        <w:numPr>
          <w:ilvl w:val="0"/>
          <w:numId w:val="7"/>
        </w:numPr>
      </w:pPr>
      <w:r w:rsidRPr="00117DCE">
        <w:t>Deliver a training and awareness programme to foster and maintain high standards of data protection and privacy.</w:t>
      </w:r>
    </w:p>
    <w:p w14:paraId="6DFF1A37" w14:textId="2AF1F20F" w:rsidR="005D0AC9" w:rsidRPr="00CB3E10" w:rsidRDefault="005D0AC9" w:rsidP="00992514">
      <w:pPr>
        <w:pStyle w:val="ListParagraph"/>
        <w:numPr>
          <w:ilvl w:val="0"/>
          <w:numId w:val="7"/>
        </w:numPr>
        <w:rPr>
          <w:color w:val="auto"/>
        </w:rPr>
      </w:pPr>
      <w:r w:rsidRPr="00992514">
        <w:t>Support the data incident response and data breach notification procedures</w:t>
      </w:r>
      <w:r w:rsidR="00D7118D">
        <w:t>, including</w:t>
      </w:r>
      <w:r w:rsidRPr="00992514">
        <w:t xml:space="preserve"> </w:t>
      </w:r>
      <w:r w:rsidR="00D7118D" w:rsidRPr="00D7118D">
        <w:t>post-incident root cause and corrective actions tracking</w:t>
      </w:r>
    </w:p>
    <w:p w14:paraId="2B4ABC2D" w14:textId="457212A7" w:rsidR="00117DCE" w:rsidRDefault="00117DCE" w:rsidP="00662293">
      <w:pPr>
        <w:pStyle w:val="ListParagraph"/>
        <w:numPr>
          <w:ilvl w:val="0"/>
          <w:numId w:val="7"/>
        </w:numPr>
        <w:rPr>
          <w:color w:val="auto"/>
        </w:rPr>
      </w:pPr>
      <w:r w:rsidRPr="00117DCE">
        <w:rPr>
          <w:color w:val="auto"/>
        </w:rPr>
        <w:t>Provid</w:t>
      </w:r>
      <w:r>
        <w:rPr>
          <w:color w:val="auto"/>
        </w:rPr>
        <w:t>e</w:t>
      </w:r>
      <w:r w:rsidRPr="00117DCE">
        <w:rPr>
          <w:color w:val="auto"/>
        </w:rPr>
        <w:t xml:space="preserve"> expert advice on data protection and information governance aspects of Business Continuity </w:t>
      </w:r>
      <w:r>
        <w:rPr>
          <w:color w:val="auto"/>
        </w:rPr>
        <w:t xml:space="preserve">Planning </w:t>
      </w:r>
      <w:r w:rsidRPr="00117DCE">
        <w:rPr>
          <w:color w:val="auto"/>
        </w:rPr>
        <w:t>and organisational resilience.</w:t>
      </w:r>
    </w:p>
    <w:p w14:paraId="30D0802B" w14:textId="77308BE3" w:rsidR="005D0AC9" w:rsidRPr="00992514" w:rsidRDefault="005D0AC9" w:rsidP="00CB3E10">
      <w:pPr>
        <w:pStyle w:val="ListParagraph"/>
        <w:numPr>
          <w:ilvl w:val="0"/>
          <w:numId w:val="7"/>
        </w:numPr>
      </w:pPr>
      <w:r w:rsidRPr="00992514">
        <w:rPr>
          <w:color w:val="auto"/>
        </w:rPr>
        <w:t xml:space="preserve">Provide updates on the data protection compliance programme within the Governance &amp; Quality Framework </w:t>
      </w:r>
    </w:p>
    <w:p w14:paraId="49D1B2E2" w14:textId="14004825" w:rsidR="005D0AC9" w:rsidRPr="00992514" w:rsidRDefault="005D0AC9" w:rsidP="00992514">
      <w:pPr>
        <w:pStyle w:val="ListParagraph"/>
        <w:numPr>
          <w:ilvl w:val="0"/>
          <w:numId w:val="7"/>
        </w:numPr>
      </w:pPr>
      <w:r w:rsidRPr="00992514">
        <w:lastRenderedPageBreak/>
        <w:t>To lead on project planning for new contracts and amendments to existing service delivery where a robust project management plan and oversight is required.</w:t>
      </w:r>
    </w:p>
    <w:p w14:paraId="0CC869F6" w14:textId="1C738970" w:rsidR="00A136E1" w:rsidRPr="00992514" w:rsidRDefault="00761E5C" w:rsidP="00992514">
      <w:pPr>
        <w:pStyle w:val="ListParagraph"/>
        <w:numPr>
          <w:ilvl w:val="0"/>
          <w:numId w:val="7"/>
        </w:numPr>
      </w:pPr>
      <w:r w:rsidRPr="00992514">
        <w:t>To provide professional timely and well</w:t>
      </w:r>
      <w:r w:rsidR="00FA3A6F">
        <w:t>-</w:t>
      </w:r>
      <w:r w:rsidRPr="00992514">
        <w:t xml:space="preserve">planned support and advice to colleagues throughout the organisation in relation to </w:t>
      </w:r>
      <w:r w:rsidR="005D0AC9" w:rsidRPr="00992514">
        <w:t>policy reviews and updates</w:t>
      </w:r>
      <w:r w:rsidRPr="00992514">
        <w:t xml:space="preserve">, working with them to drive improvements in quality and guarantee that activities comply with the necessary legislative, </w:t>
      </w:r>
      <w:r w:rsidR="005D0AC9" w:rsidRPr="00992514">
        <w:t xml:space="preserve">and </w:t>
      </w:r>
      <w:r w:rsidRPr="00992514">
        <w:t xml:space="preserve">regulatory standards.  </w:t>
      </w:r>
    </w:p>
    <w:p w14:paraId="7F95BE62" w14:textId="337F06B8" w:rsidR="00A136E1" w:rsidRPr="00992514" w:rsidRDefault="001F0F53" w:rsidP="00992514">
      <w:pPr>
        <w:pStyle w:val="ListParagraph"/>
        <w:numPr>
          <w:ilvl w:val="0"/>
          <w:numId w:val="7"/>
        </w:numPr>
      </w:pPr>
      <w:r>
        <w:t>E</w:t>
      </w:r>
      <w:r w:rsidR="00761E5C" w:rsidRPr="00992514">
        <w:t>stablish</w:t>
      </w:r>
      <w:r w:rsidR="00117DCE">
        <w:t xml:space="preserve"> </w:t>
      </w:r>
      <w:r w:rsidR="00761E5C" w:rsidRPr="00992514">
        <w:t xml:space="preserve">and maintain excellent, collaborative relationships with staff throughout the </w:t>
      </w:r>
      <w:r>
        <w:t>organisation</w:t>
      </w:r>
      <w:r w:rsidRPr="00992514">
        <w:t xml:space="preserve"> </w:t>
      </w:r>
      <w:r w:rsidR="00761E5C" w:rsidRPr="00992514">
        <w:t xml:space="preserve">to gain information about issues and challenges with the work and raise their consciousness about the requirements of </w:t>
      </w:r>
      <w:r w:rsidR="00C96914">
        <w:t xml:space="preserve">UK </w:t>
      </w:r>
      <w:r w:rsidR="005D0AC9" w:rsidRPr="00992514">
        <w:t>GDPR</w:t>
      </w:r>
      <w:r w:rsidR="00761E5C" w:rsidRPr="00992514">
        <w:t xml:space="preserve">. </w:t>
      </w:r>
    </w:p>
    <w:p w14:paraId="2EB5A266" w14:textId="23162CEC" w:rsidR="00A136E1" w:rsidRDefault="001F0F53" w:rsidP="00992514">
      <w:pPr>
        <w:pStyle w:val="ListParagraph"/>
        <w:numPr>
          <w:ilvl w:val="0"/>
          <w:numId w:val="7"/>
        </w:numPr>
      </w:pPr>
      <w:r>
        <w:t>Alert the</w:t>
      </w:r>
      <w:r w:rsidR="00761E5C" w:rsidRPr="00992514">
        <w:t xml:space="preserve"> Chief Executive, Chief Operating Officer and Board of Trustees, as appropriate, to any significant risks or </w:t>
      </w:r>
      <w:r>
        <w:t>concerns</w:t>
      </w:r>
      <w:r w:rsidRPr="00992514">
        <w:t xml:space="preserve"> </w:t>
      </w:r>
      <w:r w:rsidR="00761E5C" w:rsidRPr="00992514">
        <w:t xml:space="preserve">arising in the course of managing and monitoring the organisation’s </w:t>
      </w:r>
      <w:r w:rsidR="005D0AC9" w:rsidRPr="00992514">
        <w:t xml:space="preserve">data processing or control methods and </w:t>
      </w:r>
      <w:r w:rsidR="00761E5C" w:rsidRPr="00992514">
        <w:t xml:space="preserve">to highlight risks in accordance with risk management protocols. </w:t>
      </w:r>
    </w:p>
    <w:p w14:paraId="0923F302" w14:textId="1848CEB1" w:rsidR="00A136E1" w:rsidRPr="00992514" w:rsidRDefault="00FA3A6F" w:rsidP="00B64C3A">
      <w:pPr>
        <w:pStyle w:val="ListParagraph"/>
        <w:numPr>
          <w:ilvl w:val="0"/>
          <w:numId w:val="7"/>
        </w:numPr>
        <w:spacing w:after="239" w:line="259" w:lineRule="auto"/>
        <w:ind w:left="324" w:firstLine="0"/>
      </w:pPr>
      <w:r>
        <w:t>C</w:t>
      </w:r>
      <w:r w:rsidRPr="00FA3A6F">
        <w:t>ooperate with and act as the contact point for the ICO</w:t>
      </w:r>
      <w:r>
        <w:t>/IC</w:t>
      </w:r>
      <w:r w:rsidR="00761E5C" w:rsidRPr="00992514">
        <w:t xml:space="preserve"> </w:t>
      </w:r>
    </w:p>
    <w:p w14:paraId="432E3FEF" w14:textId="77777777" w:rsidR="00A136E1" w:rsidRDefault="00761E5C">
      <w:pPr>
        <w:pStyle w:val="Heading1"/>
        <w:ind w:left="319"/>
      </w:pPr>
      <w:r>
        <w:t xml:space="preserve">Person Specification </w:t>
      </w:r>
    </w:p>
    <w:p w14:paraId="1AD9B94F" w14:textId="4E87924F" w:rsidR="00A136E1" w:rsidRDefault="00761E5C" w:rsidP="00B64C3A">
      <w:pPr>
        <w:spacing w:after="52" w:line="259" w:lineRule="auto"/>
      </w:pPr>
      <w:r>
        <w:rPr>
          <w:b/>
          <w:sz w:val="26"/>
        </w:rPr>
        <w:t xml:space="preserve">Qualifications </w:t>
      </w:r>
    </w:p>
    <w:p w14:paraId="7550C15B" w14:textId="6CA9721B" w:rsidR="00A136E1" w:rsidRPr="00CB3E10" w:rsidRDefault="00761E5C" w:rsidP="00B64C3A">
      <w:pPr>
        <w:pStyle w:val="ListParagraph"/>
        <w:numPr>
          <w:ilvl w:val="0"/>
          <w:numId w:val="9"/>
        </w:numPr>
        <w:spacing w:line="269" w:lineRule="auto"/>
        <w:ind w:left="771" w:hanging="459"/>
      </w:pPr>
      <w:r>
        <w:t>Educated to degree level or similar.</w:t>
      </w:r>
      <w:r w:rsidRPr="00B64C3A">
        <w:rPr>
          <w:b/>
          <w:sz w:val="26"/>
        </w:rPr>
        <w:t xml:space="preserve"> </w:t>
      </w:r>
    </w:p>
    <w:p w14:paraId="605B8B33" w14:textId="6199951F" w:rsidR="00194714" w:rsidRPr="007C234E" w:rsidRDefault="00194714" w:rsidP="00B64C3A">
      <w:pPr>
        <w:pStyle w:val="ListParagraph"/>
        <w:numPr>
          <w:ilvl w:val="0"/>
          <w:numId w:val="8"/>
        </w:numPr>
        <w:spacing w:line="269" w:lineRule="auto"/>
        <w:ind w:left="771" w:hanging="459"/>
      </w:pPr>
      <w:r w:rsidRPr="00194714">
        <w:t xml:space="preserve">Certified GDPR Foundation </w:t>
      </w:r>
      <w:r>
        <w:t>AND Certified GDPR</w:t>
      </w:r>
      <w:r w:rsidRPr="00194714">
        <w:t xml:space="preserve"> Practitioner</w:t>
      </w:r>
      <w:r>
        <w:t xml:space="preserve">, and/or </w:t>
      </w:r>
      <w:r w:rsidRPr="00194714">
        <w:t>Certified Data Protection Officer (C-DPO)</w:t>
      </w:r>
      <w:r>
        <w:t>, CIPP/E, CIPM</w:t>
      </w:r>
      <w:r w:rsidR="00D7118D">
        <w:t xml:space="preserve"> </w:t>
      </w:r>
      <w:r w:rsidR="00D7118D" w:rsidRPr="00D7118D">
        <w:t>or equivalent demonstrable expertise</w:t>
      </w:r>
      <w:r w:rsidR="00117DCE">
        <w:t>.</w:t>
      </w:r>
    </w:p>
    <w:p w14:paraId="21C76B01" w14:textId="77777777" w:rsidR="00A136E1" w:rsidRDefault="00761E5C">
      <w:pPr>
        <w:pStyle w:val="Heading2"/>
        <w:ind w:left="319"/>
      </w:pPr>
      <w:r>
        <w:t xml:space="preserve">Experience </w:t>
      </w:r>
    </w:p>
    <w:p w14:paraId="6D3DCF27" w14:textId="3D468A72" w:rsidR="00A136E1" w:rsidRPr="00B64C3A" w:rsidRDefault="00761E5C" w:rsidP="00B64C3A">
      <w:pPr>
        <w:spacing w:after="16" w:line="259" w:lineRule="auto"/>
        <w:rPr>
          <w:b/>
          <w:bCs/>
        </w:rPr>
      </w:pPr>
      <w:r w:rsidRPr="00B64C3A">
        <w:rPr>
          <w:b/>
          <w:bCs/>
        </w:rPr>
        <w:t xml:space="preserve">Essential </w:t>
      </w:r>
    </w:p>
    <w:p w14:paraId="12A0ACD1" w14:textId="2B31858E" w:rsidR="00A136E1" w:rsidRDefault="00761E5C">
      <w:pPr>
        <w:numPr>
          <w:ilvl w:val="0"/>
          <w:numId w:val="2"/>
        </w:numPr>
        <w:ind w:left="769" w:hanging="459"/>
      </w:pPr>
      <w:r>
        <w:t xml:space="preserve">Experience of </w:t>
      </w:r>
      <w:r w:rsidR="00A206B8" w:rsidRPr="00A206B8">
        <w:rPr>
          <w:sz w:val="23"/>
          <w:szCs w:val="23"/>
        </w:rPr>
        <w:t>legal, compliance, IT security/ Information Security or audit background</w:t>
      </w:r>
      <w:r>
        <w:t xml:space="preserve">  </w:t>
      </w:r>
    </w:p>
    <w:p w14:paraId="39129017" w14:textId="25DD61B8" w:rsidR="00A206B8" w:rsidRDefault="00761E5C" w:rsidP="00A206B8">
      <w:pPr>
        <w:numPr>
          <w:ilvl w:val="0"/>
          <w:numId w:val="2"/>
        </w:numPr>
        <w:ind w:left="769" w:hanging="459"/>
      </w:pPr>
      <w:r>
        <w:t>Experience of dealing with external regulators and creating appropriate responses</w:t>
      </w:r>
    </w:p>
    <w:p w14:paraId="182E84BF" w14:textId="52FC6F2B" w:rsidR="00A206B8" w:rsidRPr="00A206B8" w:rsidRDefault="00A206B8" w:rsidP="00A206B8">
      <w:pPr>
        <w:numPr>
          <w:ilvl w:val="0"/>
          <w:numId w:val="2"/>
        </w:numPr>
        <w:ind w:left="769" w:hanging="459"/>
      </w:pPr>
      <w:r w:rsidRPr="00A206B8">
        <w:rPr>
          <w:sz w:val="23"/>
          <w:szCs w:val="23"/>
        </w:rPr>
        <w:t xml:space="preserve">Expert knowledge of data privacy legislation including </w:t>
      </w:r>
      <w:r w:rsidR="00C7375B">
        <w:rPr>
          <w:sz w:val="23"/>
          <w:szCs w:val="23"/>
        </w:rPr>
        <w:t xml:space="preserve">UK </w:t>
      </w:r>
      <w:r w:rsidRPr="00A206B8">
        <w:rPr>
          <w:sz w:val="23"/>
          <w:szCs w:val="23"/>
        </w:rPr>
        <w:t xml:space="preserve">GDPR  </w:t>
      </w:r>
    </w:p>
    <w:p w14:paraId="4BA74451" w14:textId="0F4E9A3D" w:rsidR="00A206B8" w:rsidRPr="00A206B8" w:rsidRDefault="00A206B8" w:rsidP="00A206B8">
      <w:pPr>
        <w:numPr>
          <w:ilvl w:val="0"/>
          <w:numId w:val="2"/>
        </w:numPr>
        <w:ind w:left="769" w:hanging="459"/>
      </w:pPr>
      <w:r w:rsidRPr="00A206B8">
        <w:rPr>
          <w:sz w:val="23"/>
          <w:szCs w:val="23"/>
        </w:rPr>
        <w:t xml:space="preserve">Experience in a similar type of role dealing with Policy development, Data Protection Impact Assessments, </w:t>
      </w:r>
      <w:r w:rsidR="00306610">
        <w:rPr>
          <w:sz w:val="23"/>
          <w:szCs w:val="23"/>
        </w:rPr>
        <w:t xml:space="preserve">complex Data Subject Access Requests, </w:t>
      </w:r>
      <w:r w:rsidRPr="00A206B8">
        <w:rPr>
          <w:sz w:val="23"/>
          <w:szCs w:val="23"/>
        </w:rPr>
        <w:t xml:space="preserve">Government bodies </w:t>
      </w:r>
    </w:p>
    <w:p w14:paraId="6AF4A25A" w14:textId="77777777" w:rsidR="00A206B8" w:rsidRPr="00A206B8" w:rsidRDefault="00A206B8" w:rsidP="00A206B8">
      <w:pPr>
        <w:numPr>
          <w:ilvl w:val="0"/>
          <w:numId w:val="2"/>
        </w:numPr>
        <w:ind w:left="769" w:hanging="459"/>
      </w:pPr>
      <w:r w:rsidRPr="00A206B8">
        <w:rPr>
          <w:sz w:val="23"/>
          <w:szCs w:val="23"/>
        </w:rPr>
        <w:t xml:space="preserve">Experience in managing and reviewing incidents and breaches </w:t>
      </w:r>
    </w:p>
    <w:p w14:paraId="4605491C" w14:textId="77777777" w:rsidR="00A206B8" w:rsidRDefault="00A206B8" w:rsidP="00A206B8">
      <w:pPr>
        <w:ind w:left="769" w:firstLine="0"/>
      </w:pPr>
    </w:p>
    <w:p w14:paraId="53D29F19" w14:textId="77777777" w:rsidR="00A136E1" w:rsidRDefault="00761E5C" w:rsidP="005F26F1">
      <w:pPr>
        <w:spacing w:after="16" w:line="259" w:lineRule="auto"/>
      </w:pPr>
      <w:r>
        <w:rPr>
          <w:b/>
        </w:rPr>
        <w:t xml:space="preserve">Desirable </w:t>
      </w:r>
    </w:p>
    <w:p w14:paraId="572A62AC" w14:textId="77777777" w:rsidR="00A136E1" w:rsidRDefault="00761E5C">
      <w:pPr>
        <w:numPr>
          <w:ilvl w:val="0"/>
          <w:numId w:val="2"/>
        </w:numPr>
        <w:ind w:left="769" w:hanging="459"/>
      </w:pPr>
      <w:r>
        <w:t xml:space="preserve">Experience of working directly with non-executives or Board members.  </w:t>
      </w:r>
    </w:p>
    <w:p w14:paraId="28C2599A" w14:textId="49FE9245" w:rsidR="00C7375B" w:rsidRDefault="00C7375B">
      <w:pPr>
        <w:numPr>
          <w:ilvl w:val="0"/>
          <w:numId w:val="2"/>
        </w:numPr>
        <w:ind w:left="769" w:hanging="459"/>
      </w:pPr>
      <w:r>
        <w:t>Experience of working on Data Protection within the NHS, MOJ</w:t>
      </w:r>
      <w:r w:rsidR="00D7118D">
        <w:t>,</w:t>
      </w:r>
      <w:r>
        <w:t xml:space="preserve"> local authorities</w:t>
      </w:r>
      <w:r w:rsidR="00D7118D">
        <w:t xml:space="preserve"> or third sector</w:t>
      </w:r>
    </w:p>
    <w:p w14:paraId="2E175DE1" w14:textId="413A9408" w:rsidR="00D7118D" w:rsidRDefault="00D7118D">
      <w:pPr>
        <w:numPr>
          <w:ilvl w:val="0"/>
          <w:numId w:val="2"/>
        </w:numPr>
        <w:ind w:left="769" w:hanging="459"/>
      </w:pPr>
      <w:r>
        <w:t>Experience of working with vulnerable individuals’ data protection</w:t>
      </w:r>
      <w:r w:rsidR="00117DCE">
        <w:t>.</w:t>
      </w:r>
    </w:p>
    <w:p w14:paraId="0F01BE94" w14:textId="23D206E7" w:rsidR="005F26F1" w:rsidRDefault="00761E5C" w:rsidP="00B64C3A">
      <w:pPr>
        <w:spacing w:after="16" w:line="259" w:lineRule="auto"/>
        <w:ind w:left="324" w:firstLine="0"/>
      </w:pPr>
      <w:r>
        <w:t xml:space="preserve">  </w:t>
      </w:r>
    </w:p>
    <w:p w14:paraId="7B16414D" w14:textId="107B294F" w:rsidR="00A136E1" w:rsidRDefault="00761E5C" w:rsidP="008654C9">
      <w:pPr>
        <w:pStyle w:val="Heading2"/>
        <w:ind w:left="319"/>
      </w:pPr>
      <w:r>
        <w:t xml:space="preserve">Skills/ Knowledge  </w:t>
      </w:r>
    </w:p>
    <w:p w14:paraId="1FD41485" w14:textId="77777777" w:rsidR="00A136E1" w:rsidRDefault="00761E5C">
      <w:pPr>
        <w:pStyle w:val="Heading3"/>
        <w:ind w:left="319"/>
      </w:pPr>
      <w:r>
        <w:t xml:space="preserve">Essential </w:t>
      </w:r>
    </w:p>
    <w:p w14:paraId="4D6F492C" w14:textId="77777777" w:rsidR="00A136E1" w:rsidRDefault="00761E5C">
      <w:pPr>
        <w:numPr>
          <w:ilvl w:val="0"/>
          <w:numId w:val="3"/>
        </w:numPr>
        <w:ind w:hanging="425"/>
      </w:pPr>
      <w:r>
        <w:t xml:space="preserve">Strong knowledge of </w:t>
      </w:r>
      <w:r w:rsidR="005F26F1">
        <w:t>Governance and Quality issues in</w:t>
      </w:r>
      <w:r>
        <w:t xml:space="preserve"> relation to substance misuse and employment services and an understanding of how to drive improvem</w:t>
      </w:r>
      <w:r w:rsidR="005F26F1">
        <w:t>ents in quality and compliance through project management and policy development.</w:t>
      </w:r>
    </w:p>
    <w:p w14:paraId="4156F8C6" w14:textId="77777777" w:rsidR="00A136E1" w:rsidRDefault="00761E5C">
      <w:pPr>
        <w:numPr>
          <w:ilvl w:val="0"/>
          <w:numId w:val="3"/>
        </w:numPr>
        <w:ind w:hanging="425"/>
      </w:pPr>
      <w:r>
        <w:t xml:space="preserve">Track record of driving service </w:t>
      </w:r>
      <w:r w:rsidR="00A206B8">
        <w:t xml:space="preserve">implementation and adaptations to </w:t>
      </w:r>
      <w:r>
        <w:t>operational improvement</w:t>
      </w:r>
      <w:r w:rsidR="00A206B8">
        <w:t>s</w:t>
      </w:r>
      <w:r>
        <w:t xml:space="preserve"> in a complex organisation. </w:t>
      </w:r>
    </w:p>
    <w:p w14:paraId="40928AF6" w14:textId="77777777" w:rsidR="00A136E1" w:rsidRDefault="00761E5C">
      <w:pPr>
        <w:numPr>
          <w:ilvl w:val="0"/>
          <w:numId w:val="3"/>
        </w:numPr>
        <w:ind w:hanging="425"/>
      </w:pPr>
      <w:r>
        <w:t xml:space="preserve">A deep knowledge of </w:t>
      </w:r>
      <w:r w:rsidR="00A206B8">
        <w:t xml:space="preserve">data protection and linked </w:t>
      </w:r>
      <w:r>
        <w:t>governance issues as they relate to the organisation’s activities</w:t>
      </w:r>
      <w:r w:rsidR="00A206B8">
        <w:t>.</w:t>
      </w:r>
      <w:r>
        <w:t xml:space="preserve"> </w:t>
      </w:r>
    </w:p>
    <w:p w14:paraId="50E9E0B3" w14:textId="77777777" w:rsidR="00A136E1" w:rsidRDefault="00761E5C">
      <w:pPr>
        <w:numPr>
          <w:ilvl w:val="0"/>
          <w:numId w:val="3"/>
        </w:numPr>
        <w:ind w:hanging="425"/>
      </w:pPr>
      <w:r>
        <w:t xml:space="preserve">An organised, methodical working style and an ability to work independently. </w:t>
      </w:r>
    </w:p>
    <w:p w14:paraId="375E0AFE" w14:textId="6B08B544" w:rsidR="00A136E1" w:rsidRDefault="00761E5C">
      <w:pPr>
        <w:numPr>
          <w:ilvl w:val="0"/>
          <w:numId w:val="3"/>
        </w:numPr>
        <w:ind w:hanging="425"/>
      </w:pPr>
      <w:r>
        <w:t xml:space="preserve">A collaborative working style and the ability to communicate effectively with a variety of audiences, including commanding the respect of </w:t>
      </w:r>
      <w:r w:rsidR="00306610">
        <w:t xml:space="preserve">third-party counterparts, </w:t>
      </w:r>
      <w:r>
        <w:t xml:space="preserve">senior colleagues and non-executives. </w:t>
      </w:r>
    </w:p>
    <w:p w14:paraId="2DD8958E" w14:textId="77777777" w:rsidR="00A206B8" w:rsidRPr="00A206B8" w:rsidRDefault="00761E5C" w:rsidP="00A206B8">
      <w:pPr>
        <w:numPr>
          <w:ilvl w:val="0"/>
          <w:numId w:val="3"/>
        </w:numPr>
        <w:ind w:hanging="425"/>
      </w:pPr>
      <w:r>
        <w:t>Personal resilience and willingness to deal robustly but tactfully with opposition.</w:t>
      </w:r>
      <w:r>
        <w:rPr>
          <w:b/>
        </w:rPr>
        <w:t xml:space="preserve"> </w:t>
      </w:r>
    </w:p>
    <w:p w14:paraId="68EE35E9" w14:textId="77777777" w:rsidR="00A206B8" w:rsidRPr="00A206B8" w:rsidRDefault="00A206B8" w:rsidP="00A206B8">
      <w:pPr>
        <w:numPr>
          <w:ilvl w:val="0"/>
          <w:numId w:val="3"/>
        </w:numPr>
        <w:ind w:hanging="425"/>
      </w:pPr>
      <w:r w:rsidRPr="00A206B8">
        <w:rPr>
          <w:sz w:val="23"/>
          <w:szCs w:val="23"/>
        </w:rPr>
        <w:t>Able to conduct the role independently and with integrity</w:t>
      </w:r>
      <w:r w:rsidR="005F26F1">
        <w:rPr>
          <w:sz w:val="23"/>
          <w:szCs w:val="23"/>
        </w:rPr>
        <w:t>.</w:t>
      </w:r>
      <w:r w:rsidRPr="00A206B8">
        <w:rPr>
          <w:sz w:val="23"/>
          <w:szCs w:val="23"/>
        </w:rPr>
        <w:t xml:space="preserve"> </w:t>
      </w:r>
    </w:p>
    <w:p w14:paraId="159716DF" w14:textId="77777777" w:rsidR="00A206B8" w:rsidRPr="00A206B8" w:rsidRDefault="00A206B8" w:rsidP="00A206B8">
      <w:pPr>
        <w:numPr>
          <w:ilvl w:val="0"/>
          <w:numId w:val="3"/>
        </w:numPr>
        <w:ind w:hanging="425"/>
      </w:pPr>
      <w:r w:rsidRPr="00A206B8">
        <w:rPr>
          <w:sz w:val="23"/>
          <w:szCs w:val="23"/>
        </w:rPr>
        <w:t>Ability to plan, organise and prioritise tasks and projects</w:t>
      </w:r>
      <w:r w:rsidR="005F26F1">
        <w:rPr>
          <w:sz w:val="23"/>
          <w:szCs w:val="23"/>
        </w:rPr>
        <w:t>.</w:t>
      </w:r>
      <w:r w:rsidRPr="00A206B8">
        <w:rPr>
          <w:sz w:val="23"/>
          <w:szCs w:val="23"/>
        </w:rPr>
        <w:t xml:space="preserve"> </w:t>
      </w:r>
    </w:p>
    <w:p w14:paraId="605519B7" w14:textId="77777777" w:rsidR="00A206B8" w:rsidRPr="00A206B8" w:rsidRDefault="00A206B8" w:rsidP="00A206B8">
      <w:pPr>
        <w:numPr>
          <w:ilvl w:val="0"/>
          <w:numId w:val="3"/>
        </w:numPr>
        <w:ind w:hanging="425"/>
      </w:pPr>
      <w:r w:rsidRPr="00A206B8">
        <w:rPr>
          <w:sz w:val="23"/>
          <w:szCs w:val="23"/>
        </w:rPr>
        <w:lastRenderedPageBreak/>
        <w:t>Good personal communication skills capable of dealing with wide range of stakeholders, including senior management</w:t>
      </w:r>
      <w:r w:rsidR="005F26F1">
        <w:rPr>
          <w:sz w:val="23"/>
          <w:szCs w:val="23"/>
        </w:rPr>
        <w:t>.</w:t>
      </w:r>
      <w:r w:rsidRPr="00A206B8">
        <w:rPr>
          <w:sz w:val="23"/>
          <w:szCs w:val="23"/>
        </w:rPr>
        <w:t xml:space="preserve"> </w:t>
      </w:r>
    </w:p>
    <w:p w14:paraId="3BC85DDE" w14:textId="77777777" w:rsidR="00A206B8" w:rsidRPr="00A206B8" w:rsidRDefault="00A206B8" w:rsidP="00A206B8">
      <w:pPr>
        <w:numPr>
          <w:ilvl w:val="0"/>
          <w:numId w:val="3"/>
        </w:numPr>
        <w:ind w:hanging="425"/>
      </w:pPr>
      <w:r w:rsidRPr="00A206B8">
        <w:rPr>
          <w:sz w:val="23"/>
          <w:szCs w:val="23"/>
        </w:rPr>
        <w:t>Proven ability to establish and maintain a high degree of confidentiality, respect, trust and credibility at all levels</w:t>
      </w:r>
      <w:r w:rsidR="005F26F1">
        <w:rPr>
          <w:sz w:val="23"/>
          <w:szCs w:val="23"/>
        </w:rPr>
        <w:t>.</w:t>
      </w:r>
      <w:r w:rsidRPr="00A206B8">
        <w:rPr>
          <w:sz w:val="23"/>
          <w:szCs w:val="23"/>
        </w:rPr>
        <w:t xml:space="preserve"> </w:t>
      </w:r>
    </w:p>
    <w:p w14:paraId="10C5E611" w14:textId="77777777" w:rsidR="00A206B8" w:rsidRPr="00A206B8" w:rsidRDefault="00A206B8" w:rsidP="004E41B0">
      <w:pPr>
        <w:numPr>
          <w:ilvl w:val="0"/>
          <w:numId w:val="3"/>
        </w:numPr>
        <w:ind w:hanging="425"/>
      </w:pPr>
      <w:r w:rsidRPr="00A206B8">
        <w:rPr>
          <w:sz w:val="23"/>
          <w:szCs w:val="23"/>
        </w:rPr>
        <w:t>Ability to make good judgements regarding risks and to prioritise resources and activity around managing those risks</w:t>
      </w:r>
      <w:r w:rsidR="005F26F1">
        <w:rPr>
          <w:sz w:val="23"/>
          <w:szCs w:val="23"/>
        </w:rPr>
        <w:t>.</w:t>
      </w:r>
    </w:p>
    <w:p w14:paraId="30417531" w14:textId="77777777" w:rsidR="00A136E1" w:rsidRDefault="00761E5C">
      <w:pPr>
        <w:pStyle w:val="Heading3"/>
        <w:ind w:left="319"/>
      </w:pPr>
      <w:r>
        <w:t xml:space="preserve">Desirable </w:t>
      </w:r>
    </w:p>
    <w:p w14:paraId="6EF21881" w14:textId="4B5F853D" w:rsidR="00A136E1" w:rsidRDefault="00761E5C" w:rsidP="00B64C3A">
      <w:pPr>
        <w:spacing w:after="34" w:line="259" w:lineRule="auto"/>
        <w:ind w:left="324" w:firstLine="0"/>
      </w:pPr>
      <w:r>
        <w:rPr>
          <w:b/>
        </w:rPr>
        <w:t xml:space="preserve"> </w:t>
      </w:r>
      <w:r>
        <w:t xml:space="preserve">Knowledge and understanding of the drug and alcohol field </w:t>
      </w:r>
    </w:p>
    <w:p w14:paraId="58A2F084" w14:textId="166AA42A" w:rsidR="00A136E1" w:rsidRPr="00CB3E10" w:rsidRDefault="00761E5C">
      <w:pPr>
        <w:numPr>
          <w:ilvl w:val="0"/>
          <w:numId w:val="4"/>
        </w:numPr>
        <w:ind w:hanging="425"/>
      </w:pPr>
      <w:r>
        <w:t>Knowledge and understanding of the criminal justice system</w:t>
      </w:r>
      <w:r>
        <w:rPr>
          <w:b/>
        </w:rPr>
        <w:t xml:space="preserve"> </w:t>
      </w:r>
    </w:p>
    <w:p w14:paraId="63D51465" w14:textId="5D769A91" w:rsidR="00C7375B" w:rsidRPr="00C96914" w:rsidRDefault="00117DCE">
      <w:pPr>
        <w:numPr>
          <w:ilvl w:val="0"/>
          <w:numId w:val="4"/>
        </w:numPr>
        <w:ind w:hanging="425"/>
        <w:rPr>
          <w:bCs/>
        </w:rPr>
      </w:pPr>
      <w:r>
        <w:rPr>
          <w:bCs/>
        </w:rPr>
        <w:t xml:space="preserve">Familiarity with </w:t>
      </w:r>
      <w:r w:rsidR="00C7375B" w:rsidRPr="00CB3E10">
        <w:rPr>
          <w:bCs/>
        </w:rPr>
        <w:t>the ISO 27001:2022 standard</w:t>
      </w:r>
    </w:p>
    <w:p w14:paraId="04D5860E" w14:textId="0E846FED" w:rsidR="008D5EC2" w:rsidRDefault="008D5EC2" w:rsidP="008654C9">
      <w:pPr>
        <w:ind w:left="0" w:firstLine="0"/>
        <w:rPr>
          <w:b/>
        </w:rPr>
      </w:pPr>
    </w:p>
    <w:tbl>
      <w:tblPr>
        <w:tblStyle w:val="TableGrid0"/>
        <w:tblW w:w="993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938"/>
      </w:tblGrid>
      <w:tr w:rsidR="008D5EC2" w:rsidRPr="005A3AD5" w14:paraId="0EDFA3A0" w14:textId="77777777" w:rsidTr="00AA0116">
        <w:trPr>
          <w:trHeight w:val="454"/>
        </w:trPr>
        <w:tc>
          <w:tcPr>
            <w:tcW w:w="9938" w:type="dxa"/>
            <w:shd w:val="clear" w:color="auto" w:fill="1F2A44"/>
          </w:tcPr>
          <w:p w14:paraId="20B65B77" w14:textId="77777777" w:rsidR="008D5EC2" w:rsidRPr="00EF1EE3" w:rsidRDefault="008D5EC2" w:rsidP="00AA0116">
            <w:r w:rsidRPr="008D5EC2">
              <w:rPr>
                <w:color w:val="FFFFFF" w:themeColor="background1"/>
              </w:rPr>
              <w:t>Forward Trust Vision, Mission, and Values:</w:t>
            </w:r>
          </w:p>
        </w:tc>
      </w:tr>
    </w:tbl>
    <w:p w14:paraId="3494D7DD" w14:textId="77777777" w:rsidR="008D5EC2" w:rsidRDefault="008D5EC2" w:rsidP="008D5EC2">
      <w:r>
        <w:rPr>
          <w:noProof/>
        </w:rPr>
        <w:drawing>
          <wp:anchor distT="0" distB="0" distL="114300" distR="114300" simplePos="0" relativeHeight="251659264" behindDoc="1" locked="0" layoutInCell="1" allowOverlap="1" wp14:anchorId="7F65C22C" wp14:editId="7DD721B2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6318250" cy="3084830"/>
            <wp:effectExtent l="0" t="0" r="6350" b="1270"/>
            <wp:wrapTight wrapText="bothSides">
              <wp:wrapPolygon edited="0">
                <wp:start x="0" y="0"/>
                <wp:lineTo x="0" y="21476"/>
                <wp:lineTo x="21557" y="21476"/>
                <wp:lineTo x="21557" y="0"/>
                <wp:lineTo x="0" y="0"/>
              </wp:wrapPolygon>
            </wp:wrapTight>
            <wp:docPr id="226" name="Picture 226" descr="A person sit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 descr="A person sitting at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1A56A60" w14:textId="77777777" w:rsidR="008D5EC2" w:rsidRDefault="008D5EC2" w:rsidP="008D5EC2"/>
    <w:p w14:paraId="21EEC024" w14:textId="77777777" w:rsidR="008D5EC2" w:rsidRPr="00C9027A" w:rsidRDefault="008D5EC2" w:rsidP="008D5EC2">
      <w:pPr>
        <w:rPr>
          <w:b/>
          <w:bCs/>
        </w:rPr>
      </w:pPr>
      <w:r>
        <w:rPr>
          <w:b/>
          <w:bCs/>
        </w:rPr>
        <w:t xml:space="preserve">Our </w:t>
      </w:r>
      <w:r w:rsidRPr="00C9027A">
        <w:rPr>
          <w:b/>
          <w:bCs/>
        </w:rPr>
        <w:t>Values:</w:t>
      </w:r>
    </w:p>
    <w:p w14:paraId="5F4DE1B2" w14:textId="77777777" w:rsidR="008D5EC2" w:rsidRDefault="008D5EC2" w:rsidP="008D5EC2">
      <w:r>
        <w:rPr>
          <w:noProof/>
        </w:rPr>
        <w:drawing>
          <wp:anchor distT="0" distB="0" distL="114300" distR="114300" simplePos="0" relativeHeight="251660288" behindDoc="0" locked="0" layoutInCell="1" allowOverlap="1" wp14:anchorId="4134927D" wp14:editId="18E4A3BF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4867275" cy="3272306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7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8417B" w14:textId="77777777" w:rsidR="008D5EC2" w:rsidRDefault="008D5EC2" w:rsidP="008D5EC2"/>
    <w:p w14:paraId="0854E108" w14:textId="77777777" w:rsidR="008D5EC2" w:rsidRDefault="008D5EC2" w:rsidP="008D5EC2"/>
    <w:p w14:paraId="3B499F1D" w14:textId="77777777" w:rsidR="008D5EC2" w:rsidRDefault="008D5EC2" w:rsidP="008D5EC2"/>
    <w:p w14:paraId="1269DFA6" w14:textId="77777777" w:rsidR="008D5EC2" w:rsidRDefault="008D5EC2" w:rsidP="008D5EC2"/>
    <w:p w14:paraId="02B59B0E" w14:textId="77777777" w:rsidR="008D5EC2" w:rsidRDefault="008D5EC2" w:rsidP="008D5EC2"/>
    <w:p w14:paraId="0C0A20F6" w14:textId="77777777" w:rsidR="008D5EC2" w:rsidRDefault="008D5EC2" w:rsidP="008D5EC2"/>
    <w:p w14:paraId="7B9F2BAC" w14:textId="77777777" w:rsidR="008D5EC2" w:rsidRDefault="008D5EC2" w:rsidP="008D5EC2"/>
    <w:p w14:paraId="245B600F" w14:textId="77777777" w:rsidR="008D5EC2" w:rsidRDefault="008D5EC2" w:rsidP="008D5EC2"/>
    <w:p w14:paraId="6080F072" w14:textId="77777777" w:rsidR="008D5EC2" w:rsidRDefault="008D5EC2" w:rsidP="008D5EC2"/>
    <w:p w14:paraId="4D952CD1" w14:textId="77777777" w:rsidR="008D5EC2" w:rsidRDefault="008D5EC2" w:rsidP="008D5EC2"/>
    <w:p w14:paraId="6EE51AE0" w14:textId="77777777" w:rsidR="008D5EC2" w:rsidRDefault="008D5EC2" w:rsidP="008D5EC2"/>
    <w:p w14:paraId="6644F21E" w14:textId="77777777" w:rsidR="008D5EC2" w:rsidRDefault="008D5EC2" w:rsidP="008D5EC2"/>
    <w:p w14:paraId="7E0954B7" w14:textId="77777777" w:rsidR="008D5EC2" w:rsidRDefault="008D5EC2" w:rsidP="008D5EC2"/>
    <w:p w14:paraId="4703FF4B" w14:textId="77777777" w:rsidR="008D5EC2" w:rsidRDefault="008D5EC2" w:rsidP="008D5EC2"/>
    <w:p w14:paraId="09C68A5A" w14:textId="77777777" w:rsidR="008D5EC2" w:rsidRDefault="008D5EC2" w:rsidP="008D5EC2">
      <w:pPr>
        <w:ind w:left="427" w:firstLine="0"/>
      </w:pPr>
    </w:p>
    <w:p w14:paraId="4468839F" w14:textId="5FEC854F" w:rsidR="00A136E1" w:rsidRDefault="00761E5C" w:rsidP="008654C9">
      <w:pPr>
        <w:spacing w:after="16" w:line="259" w:lineRule="auto"/>
        <w:ind w:left="324" w:firstLine="0"/>
      </w:pPr>
      <w:r>
        <w:rPr>
          <w:b/>
        </w:rPr>
        <w:t xml:space="preserve"> </w:t>
      </w:r>
      <w:r>
        <w:t xml:space="preserve"> </w:t>
      </w:r>
    </w:p>
    <w:sectPr w:rsidR="00A136E1">
      <w:pgSz w:w="11906" w:h="16841"/>
      <w:pgMar w:top="817" w:right="856" w:bottom="1149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4CE"/>
    <w:multiLevelType w:val="hybridMultilevel"/>
    <w:tmpl w:val="10CE1530"/>
    <w:lvl w:ilvl="0" w:tplc="1D9420EC">
      <w:start w:val="1"/>
      <w:numFmt w:val="bullet"/>
      <w:lvlText w:val="•"/>
      <w:lvlJc w:val="left"/>
      <w:pPr>
        <w:ind w:left="1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3E44"/>
    <w:multiLevelType w:val="hybridMultilevel"/>
    <w:tmpl w:val="D544086A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264E32A4"/>
    <w:multiLevelType w:val="hybridMultilevel"/>
    <w:tmpl w:val="483A4D9A"/>
    <w:lvl w:ilvl="0" w:tplc="C654FE3A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0ECFE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09F38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E2EE16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24904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273A4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862E6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26EB6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81044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F62044"/>
    <w:multiLevelType w:val="hybridMultilevel"/>
    <w:tmpl w:val="163E8D2A"/>
    <w:lvl w:ilvl="0" w:tplc="1D9420EC">
      <w:start w:val="1"/>
      <w:numFmt w:val="bullet"/>
      <w:lvlText w:val="•"/>
      <w:lvlJc w:val="left"/>
      <w:pPr>
        <w:ind w:left="1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4E43D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4B6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4852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66D9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ED7C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0EE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AC1F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C71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E6A46"/>
    <w:multiLevelType w:val="hybridMultilevel"/>
    <w:tmpl w:val="A3A8DA66"/>
    <w:lvl w:ilvl="0" w:tplc="3A702C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4967A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03E44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20D6E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25746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47B3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A93B0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3C48A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C2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D63E19"/>
    <w:multiLevelType w:val="hybridMultilevel"/>
    <w:tmpl w:val="F4006910"/>
    <w:lvl w:ilvl="0" w:tplc="E5CC6FBE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47690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6FA02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2C2AA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CED38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82C4C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0311C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2C6F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8E6FFA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7F03CF"/>
    <w:multiLevelType w:val="hybridMultilevel"/>
    <w:tmpl w:val="1BF6044C"/>
    <w:lvl w:ilvl="0" w:tplc="1D9420EC">
      <w:start w:val="1"/>
      <w:numFmt w:val="bullet"/>
      <w:lvlText w:val="•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0C7C2">
      <w:numFmt w:val="bullet"/>
      <w:lvlText w:val="-"/>
      <w:lvlJc w:val="left"/>
      <w:pPr>
        <w:ind w:left="2485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7" w15:restartNumberingAfterBreak="0">
    <w:nsid w:val="795A4DD7"/>
    <w:multiLevelType w:val="hybridMultilevel"/>
    <w:tmpl w:val="B49C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76AA"/>
    <w:multiLevelType w:val="hybridMultilevel"/>
    <w:tmpl w:val="4F1E94AC"/>
    <w:lvl w:ilvl="0" w:tplc="08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num w:numId="1" w16cid:durableId="1379936140">
    <w:abstractNumId w:val="3"/>
  </w:num>
  <w:num w:numId="2" w16cid:durableId="1203253523">
    <w:abstractNumId w:val="2"/>
  </w:num>
  <w:num w:numId="3" w16cid:durableId="912350981">
    <w:abstractNumId w:val="4"/>
  </w:num>
  <w:num w:numId="4" w16cid:durableId="9071036">
    <w:abstractNumId w:val="5"/>
  </w:num>
  <w:num w:numId="5" w16cid:durableId="1888101243">
    <w:abstractNumId w:val="6"/>
  </w:num>
  <w:num w:numId="6" w16cid:durableId="953484038">
    <w:abstractNumId w:val="0"/>
  </w:num>
  <w:num w:numId="7" w16cid:durableId="875772020">
    <w:abstractNumId w:val="7"/>
  </w:num>
  <w:num w:numId="8" w16cid:durableId="605846028">
    <w:abstractNumId w:val="1"/>
  </w:num>
  <w:num w:numId="9" w16cid:durableId="1400131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E1"/>
    <w:rsid w:val="00117DCE"/>
    <w:rsid w:val="00194714"/>
    <w:rsid w:val="001F0F53"/>
    <w:rsid w:val="00203CC2"/>
    <w:rsid w:val="00264529"/>
    <w:rsid w:val="002C763D"/>
    <w:rsid w:val="00306610"/>
    <w:rsid w:val="003208A6"/>
    <w:rsid w:val="00334E86"/>
    <w:rsid w:val="00593B91"/>
    <w:rsid w:val="005D0AC9"/>
    <w:rsid w:val="005F26F1"/>
    <w:rsid w:val="00662293"/>
    <w:rsid w:val="006E4F85"/>
    <w:rsid w:val="00761E5C"/>
    <w:rsid w:val="007B1242"/>
    <w:rsid w:val="007C234E"/>
    <w:rsid w:val="008654C9"/>
    <w:rsid w:val="008A0743"/>
    <w:rsid w:val="008D5EC2"/>
    <w:rsid w:val="00992514"/>
    <w:rsid w:val="009C6758"/>
    <w:rsid w:val="00A136E1"/>
    <w:rsid w:val="00A206B8"/>
    <w:rsid w:val="00A40CDA"/>
    <w:rsid w:val="00AA5AA3"/>
    <w:rsid w:val="00B01264"/>
    <w:rsid w:val="00B64C3A"/>
    <w:rsid w:val="00C7375B"/>
    <w:rsid w:val="00C96914"/>
    <w:rsid w:val="00CB3E10"/>
    <w:rsid w:val="00D52D0A"/>
    <w:rsid w:val="00D676AE"/>
    <w:rsid w:val="00D7118D"/>
    <w:rsid w:val="00DA7A0F"/>
    <w:rsid w:val="00E77CBE"/>
    <w:rsid w:val="00ED5C9C"/>
    <w:rsid w:val="00FA3A6F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E89E"/>
  <w15:docId w15:val="{544B1617-0DBD-41AD-96A6-C1131CBB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334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1F5F"/>
      <w:spacing w:after="120"/>
      <w:ind w:left="334" w:hanging="10"/>
      <w:outlineLvl w:val="0"/>
    </w:pPr>
    <w:rPr>
      <w:rFonts w:ascii="Arial" w:eastAsia="Arial" w:hAnsi="Arial" w:cs="Arial"/>
      <w:b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34" w:hanging="10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"/>
      <w:ind w:left="334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52D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514"/>
    <w:pPr>
      <w:ind w:left="720"/>
      <w:contextualSpacing/>
    </w:pPr>
  </w:style>
  <w:style w:type="table" w:styleId="TableGrid0">
    <w:name w:val="Table Grid"/>
    <w:basedOn w:val="TableNormal"/>
    <w:uiPriority w:val="39"/>
    <w:rsid w:val="008D5E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4714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2103aa0a-86b2-4626-8462-84d62c89dad0" xsi:nil="true"/>
    <SharedWithUsers xmlns="dd682e5a-53a6-49e1-9083-e0d5994bc95b">
      <UserInfo>
        <DisplayName/>
        <AccountId xsi:nil="true"/>
        <AccountType/>
      </UserInfo>
    </SharedWithUsers>
    <MediaLengthInSeconds xmlns="2103aa0a-86b2-4626-8462-84d62c89dad0" xsi:nil="true"/>
    <lcf76f155ced4ddcb4097134ff3c332f xmlns="2103aa0a-86b2-4626-8462-84d62c89dad0">
      <Terms xmlns="http://schemas.microsoft.com/office/infopath/2007/PartnerControls"/>
    </lcf76f155ced4ddcb4097134ff3c332f>
    <TaxCatchAll xmlns="dd682e5a-53a6-49e1-9083-e0d5994bc9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FC5C4D6FEFF489EC917104C4D4FC0" ma:contentTypeVersion="19" ma:contentTypeDescription="Create a new document." ma:contentTypeScope="" ma:versionID="49155514839b4245f8666045a401ae04">
  <xsd:schema xmlns:xsd="http://www.w3.org/2001/XMLSchema" xmlns:xs="http://www.w3.org/2001/XMLSchema" xmlns:p="http://schemas.microsoft.com/office/2006/metadata/properties" xmlns:ns2="2103aa0a-86b2-4626-8462-84d62c89dad0" xmlns:ns3="dd682e5a-53a6-49e1-9083-e0d5994bc95b" targetNamespace="http://schemas.microsoft.com/office/2006/metadata/properties" ma:root="true" ma:fieldsID="65b7f1babd054584d12d5f53e452c9aa" ns2:_="" ns3:_="">
    <xsd:import namespace="2103aa0a-86b2-4626-8462-84d62c89dad0"/>
    <xsd:import namespace="dd682e5a-53a6-49e1-9083-e0d5994b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omplete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3aa0a-86b2-4626-8462-84d62c89d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internalName="Completed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2e5a-53a6-49e1-9083-e0d5994bc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750d353-efd9-4012-811d-0e078cae43b2}" ma:internalName="TaxCatchAll" ma:showField="CatchAllData" ma:web="dd682e5a-53a6-49e1-9083-e0d5994b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743CD-CAC4-4565-9320-A3853ADAC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938A1-B30B-4CF6-9953-3A1F5FCDEC31}">
  <ds:schemaRefs>
    <ds:schemaRef ds:uri="http://schemas.microsoft.com/office/2006/metadata/properties"/>
    <ds:schemaRef ds:uri="http://schemas.microsoft.com/office/infopath/2007/PartnerControls"/>
    <ds:schemaRef ds:uri="2103aa0a-86b2-4626-8462-84d62c89dad0"/>
    <ds:schemaRef ds:uri="dd682e5a-53a6-49e1-9083-e0d5994bc95b"/>
  </ds:schemaRefs>
</ds:datastoreItem>
</file>

<file path=customXml/itemProps3.xml><?xml version="1.0" encoding="utf-8"?>
<ds:datastoreItem xmlns:ds="http://schemas.openxmlformats.org/officeDocument/2006/customXml" ds:itemID="{CFF305C4-DE0D-4111-9EDA-E599BEE93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3aa0a-86b2-4626-8462-84d62c89dad0"/>
    <ds:schemaRef ds:uri="dd682e5a-53a6-49e1-9083-e0d5994bc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cp:lastModifiedBy>Kelly Thorpe</cp:lastModifiedBy>
  <cp:revision>2</cp:revision>
  <dcterms:created xsi:type="dcterms:W3CDTF">2026-05-05T12:35:00Z</dcterms:created>
  <dcterms:modified xsi:type="dcterms:W3CDTF">2026-05-05T12:35:00Z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0x0101003EEFC5C4D6FEFF489EC917104C4D4FC0</vt:lpwstr>
  </property>
  <property fmtid="{D5CDD505-2E9C-101B-9397-08002B2CF9AE}" pid="3" name="Order">
    <vt:r8>221000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